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exact" w:before="77"/>
        <w:ind w:left="632" w:right="0" w:firstLine="0"/>
        <w:jc w:val="left"/>
        <w:rPr>
          <w:sz w:val="22"/>
        </w:rPr>
      </w:pPr>
      <w:r>
        <w:rPr>
          <w:sz w:val="22"/>
        </w:rPr>
        <w:t>NATF 1489 01 (RELATES TO NATS QAD 081)</w:t>
      </w:r>
    </w:p>
    <w:p>
      <w:pPr>
        <w:spacing w:line="321" w:lineRule="exact" w:before="0"/>
        <w:ind w:left="2756" w:right="1894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847725</wp:posOffset>
            </wp:positionH>
            <wp:positionV relativeFrom="paragraph">
              <wp:posOffset>2151</wp:posOffset>
            </wp:positionV>
            <wp:extent cx="857247" cy="68493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7" cy="68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6227445</wp:posOffset>
            </wp:positionH>
            <wp:positionV relativeFrom="paragraph">
              <wp:posOffset>14261</wp:posOffset>
            </wp:positionV>
            <wp:extent cx="876298" cy="835611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8" cy="83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/>
        </w:rPr>
        <w:t>NATF 1552 01</w:t>
      </w:r>
    </w:p>
    <w:p>
      <w:pPr>
        <w:pStyle w:val="BodyText"/>
        <w:spacing w:before="230"/>
        <w:ind w:left="4328"/>
      </w:pPr>
      <w:r>
        <w:rPr/>
        <w:t>(relates to SOP NATS NMRU 072)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thick"/>
        </w:rPr>
        <w:t>SNBTS Microbiology Testing - Sample Storage</w:t>
      </w:r>
      <w:r>
        <w:rPr>
          <w:u w:val="none"/>
        </w:rPr>
        <w:t> </w:t>
      </w:r>
      <w:r>
        <w:rPr>
          <w:u w:val="thick"/>
        </w:rPr>
        <w:t>and Transport Requirements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9"/>
        <w:gridCol w:w="3266"/>
        <w:gridCol w:w="3828"/>
      </w:tblGrid>
      <w:tr>
        <w:trPr>
          <w:trHeight w:val="1199" w:hRule="atLeast"/>
        </w:trPr>
        <w:tc>
          <w:tcPr>
            <w:tcW w:w="3079" w:type="dxa"/>
            <w:shd w:val="clear" w:color="auto" w:fill="DADAD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bookmarkStart w:name="Screening Test(s)" w:id="1"/>
            <w:bookmarkEnd w:id="1"/>
            <w:r>
              <w:rPr/>
            </w:r>
            <w:r>
              <w:rPr>
                <w:b/>
                <w:sz w:val="22"/>
              </w:rPr>
              <w:t>Screening Test(s)</w:t>
            </w:r>
          </w:p>
        </w:tc>
        <w:tc>
          <w:tcPr>
            <w:tcW w:w="3266" w:type="dxa"/>
            <w:shd w:val="clear" w:color="auto" w:fill="DADADA"/>
          </w:tcPr>
          <w:p>
            <w:pPr>
              <w:pStyle w:val="TableParagraph"/>
              <w:ind w:left="110" w:right="314"/>
              <w:rPr>
                <w:b/>
                <w:sz w:val="22"/>
              </w:rPr>
            </w:pPr>
            <w:bookmarkStart w:name="Sample storage requirements from point o" w:id="2"/>
            <w:bookmarkEnd w:id="2"/>
            <w:r>
              <w:rPr/>
            </w:r>
            <w:r>
              <w:rPr>
                <w:b/>
                <w:sz w:val="22"/>
              </w:rPr>
              <w:t>Sample storage requirements from point of bleed to testing (maximum time)</w:t>
            </w:r>
          </w:p>
        </w:tc>
        <w:tc>
          <w:tcPr>
            <w:tcW w:w="3828" w:type="dxa"/>
            <w:shd w:val="clear" w:color="auto" w:fill="DADADA"/>
          </w:tcPr>
          <w:p>
            <w:pPr>
              <w:pStyle w:val="TableParagraph"/>
              <w:spacing w:line="250" w:lineRule="exact"/>
              <w:ind w:left="108"/>
              <w:rPr>
                <w:b/>
                <w:sz w:val="22"/>
              </w:rPr>
            </w:pPr>
            <w:bookmarkStart w:name="Sample shipping requirements" w:id="3"/>
            <w:bookmarkEnd w:id="3"/>
            <w:r>
              <w:rPr/>
            </w:r>
            <w:r>
              <w:rPr>
                <w:b/>
                <w:sz w:val="22"/>
              </w:rPr>
              <w:t>Sample shipping requirements</w:t>
            </w:r>
          </w:p>
        </w:tc>
      </w:tr>
      <w:tr>
        <w:trPr>
          <w:trHeight w:val="482" w:hRule="atLeast"/>
        </w:trPr>
        <w:tc>
          <w:tcPr>
            <w:tcW w:w="10173" w:type="dxa"/>
            <w:gridSpan w:val="3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bookmarkStart w:name="Molecular Tests" w:id="4"/>
            <w:bookmarkEnd w:id="4"/>
            <w:r>
              <w:rPr/>
            </w:r>
            <w:r>
              <w:rPr>
                <w:b/>
                <w:sz w:val="22"/>
              </w:rPr>
              <w:t>Molecular Tests</w:t>
            </w:r>
          </w:p>
        </w:tc>
      </w:tr>
      <w:tr>
        <w:trPr>
          <w:trHeight w:val="805" w:hRule="atLeast"/>
        </w:trPr>
        <w:tc>
          <w:tcPr>
            <w:tcW w:w="3079" w:type="dxa"/>
            <w:tcBorders>
              <w:bottom w:val="nil"/>
            </w:tcBorders>
          </w:tcPr>
          <w:p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sz w:val="20"/>
              </w:rPr>
              <w:t>Roche MPX triplex molecular screen (</w:t>
            </w:r>
            <w:r>
              <w:rPr>
                <w:b/>
                <w:sz w:val="20"/>
              </w:rPr>
              <w:t>HBV </w:t>
            </w:r>
            <w:r>
              <w:rPr>
                <w:sz w:val="20"/>
              </w:rPr>
              <w:t>DNA, </w:t>
            </w:r>
            <w:r>
              <w:rPr>
                <w:b/>
                <w:sz w:val="20"/>
              </w:rPr>
              <w:t>HCV </w:t>
            </w:r>
            <w:r>
              <w:rPr>
                <w:sz w:val="20"/>
              </w:rPr>
              <w:t>RNA, </w:t>
            </w:r>
            <w:r>
              <w:rPr>
                <w:b/>
                <w:sz w:val="20"/>
              </w:rPr>
              <w:t>HIV </w:t>
            </w:r>
            <w:r>
              <w:rPr>
                <w:sz w:val="20"/>
              </w:rPr>
              <w:t>RNA)</w:t>
            </w:r>
          </w:p>
        </w:tc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Samples collected in PPT vacutainers </w:t>
            </w:r>
            <w:r>
              <w:rPr>
                <w:b/>
                <w:sz w:val="20"/>
              </w:rPr>
              <w:t>must </w:t>
            </w:r>
            <w:r>
              <w:rPr>
                <w:sz w:val="20"/>
              </w:rPr>
              <w:t>be centrifuged within 72 hours of draw.</w:t>
            </w:r>
          </w:p>
        </w:tc>
        <w:tc>
          <w:tcPr>
            <w:tcW w:w="382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Roche Cobas </w:t>
            </w:r>
            <w:r>
              <w:rPr>
                <w:b/>
                <w:sz w:val="20"/>
              </w:rPr>
              <w:t>WNV </w:t>
            </w:r>
            <w:r>
              <w:rPr>
                <w:sz w:val="20"/>
              </w:rPr>
              <w:t>RNA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10" w:right="314"/>
              <w:rPr>
                <w:sz w:val="20"/>
              </w:rPr>
            </w:pPr>
            <w:r>
              <w:rPr>
                <w:sz w:val="20"/>
              </w:rPr>
              <w:t>72 hours @ &gt; 8°C and &lt;25°C (and up to 30°C for 24 hours within the 72 hours)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10" w:right="508"/>
              <w:rPr>
                <w:sz w:val="20"/>
              </w:rPr>
            </w:pPr>
            <w:r>
              <w:rPr>
                <w:sz w:val="20"/>
              </w:rPr>
              <w:t>12 days @ 2-8°C for samples collected pre-mortem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2" w:hRule="atLeast"/>
        </w:trPr>
        <w:tc>
          <w:tcPr>
            <w:tcW w:w="30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110" w:right="314"/>
              <w:rPr>
                <w:sz w:val="20"/>
              </w:rPr>
            </w:pPr>
            <w:r>
              <w:rPr>
                <w:sz w:val="20"/>
              </w:rPr>
              <w:t>30 days @ &lt;-18°C for samples collected pre-mortem and if plasma separated from cells; 3 free/thaw cycles permitted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307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Grifols Procleix </w:t>
            </w:r>
            <w:r>
              <w:rPr>
                <w:b/>
                <w:sz w:val="20"/>
              </w:rPr>
              <w:t>HEV </w:t>
            </w:r>
            <w:r>
              <w:rPr>
                <w:sz w:val="20"/>
              </w:rPr>
              <w:t>RNA</w:t>
            </w:r>
          </w:p>
        </w:tc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auto" w:before="3"/>
              <w:ind w:left="110"/>
              <w:rPr>
                <w:sz w:val="20"/>
              </w:rPr>
            </w:pPr>
            <w:r>
              <w:rPr>
                <w:sz w:val="20"/>
              </w:rPr>
              <w:t>Samples collected in PPT vacutainers </w:t>
            </w:r>
            <w:r>
              <w:rPr>
                <w:b/>
                <w:sz w:val="20"/>
              </w:rPr>
              <w:t>must </w:t>
            </w:r>
            <w:r>
              <w:rPr>
                <w:sz w:val="20"/>
              </w:rPr>
              <w:t>be centrifuged</w:t>
            </w:r>
          </w:p>
          <w:p>
            <w:pPr>
              <w:pStyle w:val="TableParagraph"/>
              <w:spacing w:line="209" w:lineRule="exact" w:before="4"/>
              <w:ind w:left="110"/>
              <w:rPr>
                <w:sz w:val="20"/>
              </w:rPr>
            </w:pPr>
            <w:r>
              <w:rPr>
                <w:sz w:val="20"/>
              </w:rPr>
              <w:t>within 72 hours of draw.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24" w:hRule="atLeast"/>
        </w:trPr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314"/>
              <w:rPr>
                <w:sz w:val="20"/>
              </w:rPr>
            </w:pPr>
            <w:r>
              <w:rPr>
                <w:sz w:val="20"/>
              </w:rPr>
              <w:t>72 hours @ &gt; 8°C and &lt;25°C (and up to 30°C for 24 hours within the 72 hours)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30" w:lineRule="atLeast" w:before="1"/>
              <w:ind w:left="110" w:right="508"/>
              <w:rPr>
                <w:sz w:val="20"/>
              </w:rPr>
            </w:pPr>
            <w:r>
              <w:rPr>
                <w:sz w:val="20"/>
              </w:rPr>
              <w:t>13 days @ 2-8°C for samples collected pre-mortem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Samples may be shipped between 2- 25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 if either freshly collected OR previously stored at 2-8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  OR previously stored frozen AND arrive within 72 hours for samples collected pre-mortem.</w:t>
            </w:r>
          </w:p>
        </w:tc>
      </w:tr>
      <w:tr>
        <w:trPr>
          <w:trHeight w:val="219" w:hRule="atLeast"/>
        </w:trPr>
        <w:tc>
          <w:tcPr>
            <w:tcW w:w="30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If shipping is longer than 24 hours, temperature controlled shipping (2-8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 or frozen on dry ice as appropriate) is required.</w:t>
            </w:r>
          </w:p>
        </w:tc>
      </w:tr>
      <w:tr>
        <w:trPr>
          <w:trHeight w:val="932" w:hRule="atLeast"/>
        </w:trPr>
        <w:tc>
          <w:tcPr>
            <w:tcW w:w="3079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SNBTS </w:t>
            </w:r>
            <w:r>
              <w:rPr>
                <w:b/>
                <w:sz w:val="20"/>
              </w:rPr>
              <w:t>HCV, HIV, HBV</w:t>
            </w:r>
            <w:r>
              <w:rPr>
                <w:sz w:val="20"/>
              </w:rPr>
              <w:t>, </w:t>
            </w:r>
            <w:r>
              <w:rPr>
                <w:b/>
                <w:sz w:val="20"/>
              </w:rPr>
              <w:t>HEV,</w:t>
            </w:r>
          </w:p>
          <w:p>
            <w:pPr>
              <w:pStyle w:val="TableParagraph"/>
              <w:spacing w:line="242" w:lineRule="auto"/>
              <w:ind w:left="107" w:right="230"/>
              <w:rPr>
                <w:sz w:val="20"/>
              </w:rPr>
            </w:pPr>
            <w:r>
              <w:rPr>
                <w:b/>
                <w:sz w:val="20"/>
              </w:rPr>
              <w:t>WNV </w:t>
            </w:r>
            <w:r>
              <w:rPr>
                <w:sz w:val="20"/>
              </w:rPr>
              <w:t>in-house NAT assays for blood samples</w:t>
            </w:r>
            <w:hyperlink w:history="true" w:anchor="_bookmark0">
              <w:r>
                <w:rPr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ind w:left="110" w:right="202"/>
              <w:rPr>
                <w:sz w:val="20"/>
              </w:rPr>
            </w:pPr>
            <w:r>
              <w:rPr>
                <w:sz w:val="20"/>
              </w:rPr>
              <w:t>Ideally plasma or serum samples should be centrifuged, separated</w:t>
            </w:r>
          </w:p>
          <w:p>
            <w:pPr>
              <w:pStyle w:val="TableParagraph"/>
              <w:spacing w:line="228" w:lineRule="exact" w:before="3"/>
              <w:ind w:left="110" w:right="524"/>
              <w:rPr>
                <w:sz w:val="20"/>
              </w:rPr>
            </w:pPr>
            <w:r>
              <w:rPr>
                <w:sz w:val="20"/>
              </w:rPr>
              <w:t>and frozen prior to sending to NMRU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.</w:t>
            </w:r>
          </w:p>
        </w:tc>
        <w:tc>
          <w:tcPr>
            <w:tcW w:w="38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2" w:hRule="atLeast"/>
        </w:trPr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10" w:right="132"/>
              <w:rPr>
                <w:sz w:val="20"/>
              </w:rPr>
            </w:pPr>
            <w:r>
              <w:rPr>
                <w:sz w:val="20"/>
              </w:rPr>
              <w:t>Samples collected in PPT or EDTA vacutainers should ideally be centrifuged within 24 hours with a maximum pre- centrifugation time of 5 days @ 2- 25°C. Centrifuged PPT vacutainers can be can be stored for 14 days @ 2-8°C.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8" w:right="172"/>
              <w:rPr>
                <w:sz w:val="20"/>
              </w:rPr>
            </w:pPr>
            <w:r>
              <w:rPr>
                <w:sz w:val="20"/>
              </w:rPr>
              <w:t>Sample storage requirements must not be exceeded.</w:t>
            </w:r>
          </w:p>
        </w:tc>
      </w:tr>
      <w:tr>
        <w:trPr>
          <w:trHeight w:val="343" w:hRule="atLeast"/>
        </w:trPr>
        <w:tc>
          <w:tcPr>
            <w:tcW w:w="30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13" w:lineRule="exact" w:before="110"/>
              <w:ind w:left="110"/>
              <w:rPr>
                <w:sz w:val="20"/>
              </w:rPr>
            </w:pPr>
            <w:r>
              <w:rPr>
                <w:sz w:val="20"/>
              </w:rPr>
              <w:t>If PPT centrifuged within 48 hours</w:t>
            </w: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56.639999pt,11.16pt" to="200.639999pt,11.1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0"/>
        <w:ind w:left="632"/>
      </w:pPr>
      <w:bookmarkStart w:name="_bookmark0" w:id="5"/>
      <w:bookmarkEnd w:id="5"/>
      <w:r>
        <w:rPr/>
      </w:r>
      <w:r>
        <w:rPr>
          <w:position w:val="10"/>
          <w:sz w:val="13"/>
        </w:rPr>
        <w:t>1 </w:t>
      </w:r>
      <w:r>
        <w:rPr/>
        <w:t>For the small proportion of samples for which the samples exceed the recommended sample storage times/conditions, NMRU will consider whether testing can be performed on a case-by-case basis</w:t>
      </w:r>
    </w:p>
    <w:p>
      <w:pPr>
        <w:pStyle w:val="BodyText"/>
        <w:spacing w:line="228" w:lineRule="exact" w:before="23"/>
        <w:ind w:left="632"/>
      </w:pPr>
      <w:r>
        <w:rPr>
          <w:position w:val="10"/>
          <w:sz w:val="13"/>
        </w:rPr>
        <w:t>2 </w:t>
      </w:r>
      <w:r>
        <w:rPr/>
        <w:t>Unless otherwise stated, all separated plasma and serum samples may be stored indefinitely at &lt;= -20</w:t>
      </w:r>
      <w:r>
        <w:rPr>
          <w:rFonts w:ascii="Symbol" w:hAnsi="Symbol"/>
        </w:rPr>
        <w:t></w:t>
      </w:r>
      <w:r>
        <w:rPr/>
        <w:t>C prior to testing</w:t>
      </w:r>
    </w:p>
    <w:p>
      <w:pPr>
        <w:pStyle w:val="BodyText"/>
        <w:ind w:left="59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8pt;height:18.650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tabs>
                      <w:tab w:pos="7696" w:val="left" w:leader="none"/>
                    </w:tabs>
                    <w:spacing w:before="18"/>
                    <w:ind w:left="2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NATF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1552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01</w:t>
                    <w:tab/>
                    <w:t>PAGE 1 OF 3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spacing w:after="0"/>
        <w:sectPr>
          <w:type w:val="continuous"/>
          <w:pgSz w:w="11910" w:h="16850"/>
          <w:pgMar w:top="640" w:bottom="280" w:left="500" w:right="540"/>
        </w:sectPr>
      </w:pPr>
    </w:p>
    <w:p>
      <w:pPr>
        <w:spacing w:line="252" w:lineRule="exact" w:before="77"/>
        <w:ind w:left="179" w:right="0" w:firstLine="0"/>
        <w:jc w:val="left"/>
        <w:rPr>
          <w:sz w:val="22"/>
        </w:rPr>
      </w:pPr>
      <w:r>
        <w:rPr>
          <w:sz w:val="22"/>
        </w:rPr>
        <w:t>NATF 1489 01 (RELATES TO NATS QAD 081)</w:t>
      </w:r>
    </w:p>
    <w:p>
      <w:pPr>
        <w:spacing w:line="321" w:lineRule="exact" w:before="0"/>
        <w:ind w:left="1854" w:right="1896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559434</wp:posOffset>
            </wp:positionH>
            <wp:positionV relativeFrom="paragraph">
              <wp:posOffset>2151</wp:posOffset>
            </wp:positionV>
            <wp:extent cx="857248" cy="684933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8" cy="68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5939154</wp:posOffset>
            </wp:positionH>
            <wp:positionV relativeFrom="paragraph">
              <wp:posOffset>14261</wp:posOffset>
            </wp:positionV>
            <wp:extent cx="876299" cy="835611"/>
            <wp:effectExtent l="0" t="0" r="0" b="0"/>
            <wp:wrapNone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9" cy="83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/>
        </w:rPr>
        <w:t>NATF 1552 01</w:t>
      </w:r>
    </w:p>
    <w:p>
      <w:pPr>
        <w:pStyle w:val="BodyText"/>
        <w:spacing w:before="230"/>
        <w:ind w:left="1848" w:right="1896"/>
        <w:jc w:val="center"/>
      </w:pPr>
      <w:r>
        <w:rPr/>
        <w:t>(relates to SOP NATS NMRU 072)</w:t>
      </w:r>
    </w:p>
    <w:p>
      <w:pPr>
        <w:pStyle w:val="BodyText"/>
      </w:pPr>
    </w:p>
    <w:p>
      <w:pPr>
        <w:pStyle w:val="Heading1"/>
        <w:ind w:left="2303" w:right="2350"/>
        <w:rPr>
          <w:u w:val="none"/>
        </w:rPr>
      </w:pPr>
      <w:r>
        <w:rPr>
          <w:u w:val="thick"/>
        </w:rPr>
        <w:t>SNBTS Microbiology Testing - Sample Storage</w:t>
      </w:r>
      <w:r>
        <w:rPr>
          <w:u w:val="none"/>
        </w:rPr>
        <w:t> </w:t>
      </w:r>
      <w:r>
        <w:rPr>
          <w:u w:val="thick"/>
        </w:rPr>
        <w:t>and Transport Requirements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2"/>
        <w:gridCol w:w="3266"/>
        <w:gridCol w:w="3828"/>
      </w:tblGrid>
      <w:tr>
        <w:trPr>
          <w:trHeight w:val="1610" w:hRule="atLeast"/>
        </w:trPr>
        <w:tc>
          <w:tcPr>
            <w:tcW w:w="30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ind w:left="110" w:right="397"/>
              <w:rPr>
                <w:sz w:val="20"/>
              </w:rPr>
            </w:pPr>
            <w:r>
              <w:rPr>
                <w:sz w:val="20"/>
              </w:rPr>
              <w:t>samples can be stored for a maximum of 7 days @ 2-25°C.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0" w:right="202"/>
              <w:rPr>
                <w:sz w:val="20"/>
              </w:rPr>
            </w:pPr>
            <w:r>
              <w:rPr>
                <w:sz w:val="20"/>
              </w:rPr>
              <w:t>Samples collected in EDTA vacutainers samples can be stored for a maximum of 7 days</w:t>
            </w:r>
          </w:p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@ 2-25°C.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1" w:hRule="atLeast"/>
        </w:trPr>
        <w:tc>
          <w:tcPr>
            <w:tcW w:w="3042" w:type="dxa"/>
          </w:tcPr>
          <w:p>
            <w:pPr>
              <w:pStyle w:val="TableParagraph"/>
              <w:spacing w:line="225" w:lineRule="exact"/>
              <w:ind w:left="70"/>
              <w:rPr>
                <w:b/>
                <w:sz w:val="20"/>
              </w:rPr>
            </w:pPr>
            <w:r>
              <w:rPr>
                <w:sz w:val="20"/>
              </w:rPr>
              <w:t>SNBTS </w:t>
            </w:r>
            <w:r>
              <w:rPr>
                <w:b/>
                <w:sz w:val="20"/>
              </w:rPr>
              <w:t>HCV, HIV, HBV, HEV</w:t>
            </w:r>
          </w:p>
          <w:p>
            <w:pPr>
              <w:pStyle w:val="TableParagraph"/>
              <w:spacing w:before="3"/>
              <w:ind w:left="70"/>
              <w:rPr>
                <w:sz w:val="20"/>
              </w:rPr>
            </w:pPr>
            <w:r>
              <w:rPr>
                <w:sz w:val="20"/>
              </w:rPr>
              <w:t>in-house NAT for cells</w:t>
            </w:r>
          </w:p>
        </w:tc>
        <w:tc>
          <w:tcPr>
            <w:tcW w:w="32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1B1B1B"/>
                <w:sz w:val="20"/>
              </w:rPr>
              <w:t>20uL of cell suspension (either storage medium or sterile PBS) containing 2 x 10</w:t>
            </w:r>
            <w:r>
              <w:rPr>
                <w:color w:val="1B1B1B"/>
                <w:sz w:val="20"/>
                <w:vertAlign w:val="superscript"/>
              </w:rPr>
              <w:t>5</w:t>
            </w:r>
            <w:r>
              <w:rPr>
                <w:color w:val="1B1B1B"/>
                <w:sz w:val="20"/>
                <w:vertAlign w:val="baseline"/>
              </w:rPr>
              <w:t> cells for each NAT test</w:t>
            </w:r>
          </w:p>
        </w:tc>
        <w:tc>
          <w:tcPr>
            <w:tcW w:w="3828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Shipped on dry ice.</w:t>
            </w:r>
          </w:p>
        </w:tc>
      </w:tr>
      <w:tr>
        <w:trPr>
          <w:trHeight w:val="482" w:hRule="atLeast"/>
        </w:trPr>
        <w:tc>
          <w:tcPr>
            <w:tcW w:w="10136" w:type="dxa"/>
            <w:gridSpan w:val="3"/>
          </w:tcPr>
          <w:p>
            <w:pPr>
              <w:pStyle w:val="TableParagraph"/>
              <w:spacing w:line="248" w:lineRule="exact"/>
              <w:ind w:left="70"/>
              <w:rPr>
                <w:b/>
                <w:sz w:val="22"/>
              </w:rPr>
            </w:pPr>
            <w:bookmarkStart w:name="Serological Tests – Screening" w:id="6"/>
            <w:bookmarkEnd w:id="6"/>
            <w:r>
              <w:rPr/>
            </w:r>
            <w:r>
              <w:rPr>
                <w:b/>
                <w:sz w:val="22"/>
              </w:rPr>
              <w:t>Serological Tests – Screening</w:t>
            </w:r>
          </w:p>
        </w:tc>
      </w:tr>
      <w:tr>
        <w:trPr>
          <w:trHeight w:val="1494" w:hRule="atLeast"/>
        </w:trPr>
        <w:tc>
          <w:tcPr>
            <w:tcW w:w="3042" w:type="dxa"/>
            <w:tcBorders>
              <w:bottom w:val="nil"/>
            </w:tcBorders>
          </w:tcPr>
          <w:p>
            <w:pPr>
              <w:pStyle w:val="TableParagraph"/>
              <w:ind w:left="70" w:right="396"/>
              <w:rPr>
                <w:sz w:val="20"/>
              </w:rPr>
            </w:pPr>
            <w:r>
              <w:rPr>
                <w:sz w:val="20"/>
              </w:rPr>
              <w:t>Abbott PRISM (HBsAg, HCV Ab, HIV Ag/Ab, HTLV Ab)</w:t>
            </w:r>
          </w:p>
        </w:tc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Samples must be centrifuged prior to testing. All samples must be tested or retested within 24 hours of initial centrifugation; after 24 hours samples need to be re- centrifuged.</w:t>
            </w:r>
          </w:p>
        </w:tc>
        <w:tc>
          <w:tcPr>
            <w:tcW w:w="3828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Specimens may be shipped</w:t>
            </w:r>
          </w:p>
          <w:p>
            <w:pPr>
              <w:pStyle w:val="TableParagraph"/>
              <w:ind w:left="108" w:right="172"/>
              <w:rPr>
                <w:sz w:val="20"/>
              </w:rPr>
            </w:pPr>
            <w:r>
              <w:rPr>
                <w:sz w:val="20"/>
              </w:rPr>
              <w:t>under ambient conditions, refrigerated on wet ice (2 - 8°C), or frozen on dry ice (-10°C or colder). Prior to freezing, the specimen should be removed from the clot or red cells.</w:t>
            </w:r>
          </w:p>
        </w:tc>
      </w:tr>
      <w:tr>
        <w:trPr>
          <w:trHeight w:val="1166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110" w:right="97"/>
              <w:rPr>
                <w:sz w:val="20"/>
              </w:rPr>
            </w:pPr>
            <w:r>
              <w:rPr>
                <w:sz w:val="20"/>
              </w:rPr>
              <w:t>Up to 14 days on cells @ 2-8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 (If storage period &gt;14 days serum or plasma should be removed from the clot or red blood cells)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8" w:hRule="atLeast"/>
        </w:trPr>
        <w:tc>
          <w:tcPr>
            <w:tcW w:w="30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44" w:lineRule="auto" w:before="110"/>
              <w:ind w:left="110" w:right="314"/>
              <w:rPr>
                <w:sz w:val="20"/>
              </w:rPr>
            </w:pPr>
            <w:r>
              <w:rPr>
                <w:sz w:val="20"/>
              </w:rPr>
              <w:t>Samples may be stored frozen (&lt;20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C) prior to testing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0" w:hRule="atLeast"/>
        </w:trPr>
        <w:tc>
          <w:tcPr>
            <w:tcW w:w="3042" w:type="dxa"/>
          </w:tcPr>
          <w:p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Abbott Architect (Syphilis)</w:t>
            </w:r>
          </w:p>
        </w:tc>
        <w:tc>
          <w:tcPr>
            <w:tcW w:w="3266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Serum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Room temperature ≤ 72 hours; 2- 8°C ≤ 7 days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Plasma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Room temperature ≤ 72 hours; 2- 8°C ≤ 30 days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042" w:type="dxa"/>
          </w:tcPr>
          <w:p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Abbott Architect (CMV IgM)</w:t>
            </w:r>
          </w:p>
        </w:tc>
        <w:tc>
          <w:tcPr>
            <w:tcW w:w="3266" w:type="dxa"/>
          </w:tcPr>
          <w:p>
            <w:pPr>
              <w:pStyle w:val="TableParagraph"/>
              <w:spacing w:line="230" w:lineRule="exact"/>
              <w:ind w:left="110" w:right="367"/>
              <w:rPr>
                <w:sz w:val="20"/>
              </w:rPr>
            </w:pPr>
            <w:r>
              <w:rPr>
                <w:sz w:val="20"/>
              </w:rPr>
              <w:t>Serum /plasma ≤ 14 days @ 2- 8°C</w:t>
            </w: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6" w:hRule="atLeast"/>
        </w:trPr>
        <w:tc>
          <w:tcPr>
            <w:tcW w:w="3042" w:type="dxa"/>
            <w:tcBorders>
              <w:bottom w:val="nil"/>
            </w:tcBorders>
          </w:tcPr>
          <w:p>
            <w:pPr>
              <w:pStyle w:val="TableParagraph"/>
              <w:ind w:left="70" w:right="229"/>
              <w:rPr>
                <w:sz w:val="20"/>
              </w:rPr>
            </w:pPr>
            <w:r>
              <w:rPr>
                <w:sz w:val="20"/>
              </w:rPr>
              <w:t>Abbott Alinity s (HBsAg, HCV Ab, HIV Ag/Ab, Syphilis, HTLV Ab, HBc Ab)</w:t>
            </w:r>
          </w:p>
        </w:tc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Samples must be centrifuged prior to testing. All samples must be tested or retested within 48 hours of initial centrifugation; after 48 hours samples need to be re- centrifuged.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110"/>
              <w:rPr>
                <w:sz w:val="20"/>
              </w:rPr>
            </w:pPr>
            <w:r>
              <w:rPr>
                <w:sz w:val="20"/>
              </w:rPr>
              <w:t>up to 7 days on or off cells @15- 30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110"/>
              <w:rPr>
                <w:sz w:val="20"/>
              </w:rPr>
            </w:pPr>
            <w:r>
              <w:rPr>
                <w:sz w:val="20"/>
              </w:rPr>
              <w:t>up to 14 days on or off cells @ 2- 8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</w:t>
            </w:r>
          </w:p>
        </w:tc>
        <w:tc>
          <w:tcPr>
            <w:tcW w:w="3828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Specimens may be shipped</w:t>
            </w:r>
          </w:p>
          <w:p>
            <w:pPr>
              <w:pStyle w:val="TableParagraph"/>
              <w:ind w:left="108" w:right="172"/>
              <w:rPr>
                <w:sz w:val="20"/>
              </w:rPr>
            </w:pPr>
            <w:r>
              <w:rPr>
                <w:sz w:val="20"/>
              </w:rPr>
              <w:t>under ambient conditions, refrigerated on wet ice (2 - 8°C), or frozen on dry ice (-10°C or colder).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8" w:right="172"/>
              <w:rPr>
                <w:sz w:val="20"/>
              </w:rPr>
            </w:pPr>
            <w:r>
              <w:rPr>
                <w:sz w:val="20"/>
              </w:rPr>
              <w:t>Storage at a combination of 15 - 30°C and 2 - 8°C may not exceed 14 days (inclusive of shipping time).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 w:right="172"/>
              <w:rPr>
                <w:sz w:val="20"/>
              </w:rPr>
            </w:pPr>
            <w:r>
              <w:rPr>
                <w:sz w:val="20"/>
              </w:rPr>
              <w:t>Prior to freezing, the specimen should be removed from the clot or red cells.</w:t>
            </w:r>
          </w:p>
        </w:tc>
      </w:tr>
      <w:tr>
        <w:trPr>
          <w:trHeight w:val="849" w:hRule="atLeast"/>
        </w:trPr>
        <w:tc>
          <w:tcPr>
            <w:tcW w:w="30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Samples may be stored frozen (&lt;20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C) prior to testing for up to 3 months.</w:t>
            </w: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3042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NATF 1552 01</w:t>
            </w:r>
          </w:p>
        </w:tc>
        <w:tc>
          <w:tcPr>
            <w:tcW w:w="32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1435"/>
              <w:rPr>
                <w:b/>
                <w:sz w:val="28"/>
              </w:rPr>
            </w:pPr>
            <w:r>
              <w:rPr>
                <w:b/>
                <w:sz w:val="28"/>
              </w:rPr>
              <w:t>PAGE 2 OF 3</w:t>
            </w:r>
          </w:p>
        </w:tc>
      </w:tr>
    </w:tbl>
    <w:p>
      <w:pPr>
        <w:spacing w:after="0"/>
        <w:rPr>
          <w:sz w:val="28"/>
        </w:rPr>
        <w:sectPr>
          <w:pgSz w:w="11910" w:h="16850"/>
          <w:pgMar w:top="640" w:bottom="280" w:left="500" w:right="540"/>
        </w:sectPr>
      </w:pPr>
    </w:p>
    <w:p>
      <w:pPr>
        <w:spacing w:line="252" w:lineRule="exact" w:before="77"/>
        <w:ind w:left="632" w:right="0" w:firstLine="0"/>
        <w:jc w:val="left"/>
        <w:rPr>
          <w:sz w:val="22"/>
        </w:rPr>
      </w:pPr>
      <w:r>
        <w:rPr>
          <w:sz w:val="22"/>
        </w:rPr>
        <w:t>NATF 1489 01 (RELATES TO NATS QAD 081)</w:t>
      </w:r>
    </w:p>
    <w:p>
      <w:pPr>
        <w:spacing w:line="321" w:lineRule="exact" w:before="0"/>
        <w:ind w:left="2756" w:right="1894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847725</wp:posOffset>
            </wp:positionH>
            <wp:positionV relativeFrom="paragraph">
              <wp:posOffset>2151</wp:posOffset>
            </wp:positionV>
            <wp:extent cx="857247" cy="684933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7" cy="68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6227445</wp:posOffset>
            </wp:positionH>
            <wp:positionV relativeFrom="paragraph">
              <wp:posOffset>14261</wp:posOffset>
            </wp:positionV>
            <wp:extent cx="876298" cy="835611"/>
            <wp:effectExtent l="0" t="0" r="0" b="0"/>
            <wp:wrapNone/>
            <wp:docPr id="1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8" cy="83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/>
        </w:rPr>
        <w:t>NATF 1552 01</w:t>
      </w:r>
    </w:p>
    <w:p>
      <w:pPr>
        <w:pStyle w:val="BodyText"/>
        <w:spacing w:before="230"/>
        <w:ind w:left="4328"/>
      </w:pPr>
      <w:r>
        <w:rPr/>
        <w:t>(relates to SOP NATS NMRU 072)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thick"/>
        </w:rPr>
        <w:t>SNBTS Microbiology Testing - Sample Storage</w:t>
      </w:r>
      <w:r>
        <w:rPr>
          <w:u w:val="none"/>
        </w:rPr>
        <w:t> </w:t>
      </w:r>
      <w:r>
        <w:rPr>
          <w:u w:val="thick"/>
        </w:rPr>
        <w:t>and Transport Requirements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9"/>
        <w:gridCol w:w="3266"/>
        <w:gridCol w:w="3828"/>
      </w:tblGrid>
      <w:tr>
        <w:trPr>
          <w:trHeight w:val="484" w:hRule="atLeast"/>
        </w:trPr>
        <w:tc>
          <w:tcPr>
            <w:tcW w:w="10173" w:type="dxa"/>
            <w:gridSpan w:val="3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bookmarkStart w:name="Serological tests – NMRU1," w:id="7"/>
            <w:bookmarkEnd w:id="7"/>
            <w:r>
              <w:rPr/>
            </w:r>
            <w:r>
              <w:rPr>
                <w:b/>
                <w:sz w:val="22"/>
              </w:rPr>
              <w:t>Serological tests – NMRU</w:t>
            </w:r>
            <w:r>
              <w:rPr>
                <w:b/>
                <w:sz w:val="22"/>
                <w:vertAlign w:val="superscript"/>
              </w:rPr>
              <w:t>1,</w:t>
            </w:r>
            <w:hyperlink w:history="true" w:anchor="_bookmark1">
              <w:r>
                <w:rPr>
                  <w:b/>
                  <w:sz w:val="22"/>
                  <w:vertAlign w:val="superscript"/>
                </w:rPr>
                <w:t>2</w:t>
              </w:r>
            </w:hyperlink>
          </w:p>
        </w:tc>
      </w:tr>
      <w:tr>
        <w:trPr>
          <w:trHeight w:val="2229" w:hRule="atLeast"/>
        </w:trPr>
        <w:tc>
          <w:tcPr>
            <w:tcW w:w="307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HBsAg, HIV Ag/Ab, HCV Ab,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HTLV Ab, Syphilis Ab, HEV Ab, HBc Ab, HBs Ab, Malaria Ab</w:t>
            </w:r>
          </w:p>
        </w:tc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7 days @ 2-8°C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Serum and plasma samples for confirmatory testing should be centrifuged and separated from red cells prior to sending to NMRU.</w:t>
            </w:r>
          </w:p>
        </w:tc>
        <w:tc>
          <w:tcPr>
            <w:tcW w:w="3828" w:type="dxa"/>
            <w:tcBorders>
              <w:bottom w:val="nil"/>
            </w:tcBorders>
          </w:tcPr>
          <w:p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Samples may be shipped between 2- 25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 if either freshly collected OR previously stored at 2-8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  OR previously stored frozen.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If shipping is longer than 24 hours, temperature controlled shipping (2-8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 or frozen on dry ice as appropriate) is recommended.</w:t>
            </w:r>
          </w:p>
        </w:tc>
      </w:tr>
      <w:tr>
        <w:trPr>
          <w:trHeight w:val="1033" w:hRule="atLeast"/>
        </w:trPr>
        <w:tc>
          <w:tcPr>
            <w:tcW w:w="30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08" w:right="87"/>
              <w:rPr>
                <w:sz w:val="20"/>
              </w:rPr>
            </w:pPr>
            <w:r>
              <w:rPr>
                <w:sz w:val="20"/>
              </w:rPr>
              <w:t>Sample storage requirements should not be exceeded.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  <w:r>
        <w:rPr/>
        <w:pict>
          <v:line style="position:absolute;mso-position-horizontal-relative:page;mso-position-vertical-relative:paragraph;z-index:1168;mso-wrap-distance-left:0;mso-wrap-distance-right:0" from="56.639999pt,13.595157pt" to="200.639999pt,13.595157pt" stroked="true" strokeweight=".48pt" strokecolor="#000000">
            <v:stroke dashstyle="solid"/>
            <w10:wrap type="topAndBottom"/>
          </v:line>
        </w:pict>
      </w:r>
      <w:r>
        <w:rPr/>
        <w:pict>
          <v:shape style="position:absolute;margin-left:54.959999pt;margin-top:29.914656pt;width:508pt;height:18.650pt;mso-position-horizontal-relative:page;mso-position-vertical-relative:paragraph;z-index:119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tabs>
                      <w:tab w:pos="7696" w:val="left" w:leader="none"/>
                    </w:tabs>
                    <w:spacing w:before="18"/>
                    <w:ind w:left="28" w:right="0" w:firstLine="0"/>
                    <w:jc w:val="left"/>
                    <w:rPr>
                      <w:b/>
                      <w:sz w:val="28"/>
                    </w:rPr>
                  </w:pPr>
                  <w:bookmarkStart w:name="_bookmark1" w:id="8"/>
                  <w:bookmarkEnd w:id="8"/>
                  <w:r>
                    <w:rPr/>
                  </w:r>
                  <w:r>
                    <w:rPr>
                      <w:b/>
                      <w:sz w:val="28"/>
                    </w:rPr>
                    <w:t>NATF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1552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01</w:t>
                    <w:tab/>
                    <w:t>PAGE 3 OF</w:t>
                  </w:r>
                  <w:r>
                    <w:rPr>
                      <w:b/>
                      <w:spacing w:val="0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3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21"/>
        </w:rPr>
      </w:pPr>
    </w:p>
    <w:sectPr>
      <w:pgSz w:w="11910" w:h="16850"/>
      <w:pgMar w:top="640" w:bottom="280" w:left="5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2756" w:right="1896"/>
      <w:jc w:val="center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dc:title>SNBTS Microbiology Testing</dc:title>
  <dcterms:created xsi:type="dcterms:W3CDTF">2019-10-09T13:27:02Z</dcterms:created>
  <dcterms:modified xsi:type="dcterms:W3CDTF">2019-10-09T13:27:02Z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2019-10-09T00:00:00Z</vt:filetime>
  </property>
</Properties>
</file>