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Borders>
          <w:insideH w:val="single" w:sz="6" w:space="0" w:color="auto"/>
          <w:insideV w:val="single" w:sz="6" w:space="0" w:color="auto"/>
        </w:tblBorders>
        <w:tblLayout w:type="fixed"/>
        <w:tblLook w:val="0000" w:firstRow="0" w:lastRow="0" w:firstColumn="0" w:lastColumn="0" w:noHBand="0" w:noVBand="0"/>
      </w:tblPr>
      <w:tblGrid>
        <w:gridCol w:w="9923"/>
      </w:tblGrid>
      <w:tr w:rsidR="00A608CE">
        <w:tc>
          <w:tcPr>
            <w:tcW w:w="9923" w:type="dxa"/>
            <w:tcBorders>
              <w:top w:val="single" w:sz="18" w:space="0" w:color="auto"/>
              <w:left w:val="single" w:sz="18" w:space="0" w:color="auto"/>
              <w:bottom w:val="single" w:sz="18" w:space="0" w:color="auto"/>
              <w:right w:val="single" w:sz="18" w:space="0" w:color="auto"/>
            </w:tcBorders>
          </w:tcPr>
          <w:p w:rsidR="00A608CE" w:rsidRDefault="00A608CE" w:rsidP="00C14343">
            <w:pPr>
              <w:pStyle w:val="BodyText"/>
              <w:jc w:val="both"/>
              <w:rPr>
                <w:b/>
              </w:rPr>
            </w:pPr>
            <w:r>
              <w:rPr>
                <w:b/>
              </w:rPr>
              <w:t>Title:</w:t>
            </w:r>
          </w:p>
          <w:p w:rsidR="00404A2B" w:rsidRDefault="00404A2B" w:rsidP="00DC6727">
            <w:pPr>
              <w:autoSpaceDE w:val="0"/>
              <w:autoSpaceDN w:val="0"/>
              <w:adjustRightInd w:val="0"/>
              <w:rPr>
                <w:rFonts w:cs="Arial"/>
                <w:b/>
                <w:sz w:val="24"/>
                <w:szCs w:val="28"/>
                <w:lang w:val="fr-FR"/>
              </w:rPr>
            </w:pPr>
          </w:p>
          <w:p w:rsidR="00DC6727" w:rsidRPr="00404A2B" w:rsidRDefault="00DC6727" w:rsidP="00DC6727">
            <w:pPr>
              <w:autoSpaceDE w:val="0"/>
              <w:autoSpaceDN w:val="0"/>
              <w:adjustRightInd w:val="0"/>
              <w:rPr>
                <w:rFonts w:cs="Arial"/>
                <w:b/>
                <w:sz w:val="24"/>
                <w:szCs w:val="28"/>
                <w:lang w:val="fr-FR"/>
              </w:rPr>
            </w:pPr>
            <w:r w:rsidRPr="00404A2B">
              <w:rPr>
                <w:rFonts w:cs="Arial"/>
                <w:b/>
                <w:sz w:val="24"/>
                <w:szCs w:val="28"/>
                <w:lang w:val="fr-FR"/>
              </w:rPr>
              <w:t xml:space="preserve">SNBTS POLICY ON THE ACCEPTANCE CRITERIA FOR PATIENT BLOOD SAMPLES WITHIN </w:t>
            </w:r>
            <w:r w:rsidR="00E83E46">
              <w:rPr>
                <w:rFonts w:cs="Arial"/>
                <w:b/>
                <w:sz w:val="24"/>
                <w:szCs w:val="28"/>
                <w:lang w:val="fr-FR"/>
              </w:rPr>
              <w:t>PATIENT SERVICES</w:t>
            </w:r>
            <w:r w:rsidR="00E83E46" w:rsidRPr="00404A2B">
              <w:rPr>
                <w:rFonts w:cs="Arial"/>
                <w:b/>
                <w:sz w:val="24"/>
                <w:szCs w:val="28"/>
                <w:lang w:val="fr-FR"/>
              </w:rPr>
              <w:t xml:space="preserve"> </w:t>
            </w:r>
            <w:r w:rsidRPr="00404A2B">
              <w:rPr>
                <w:rFonts w:cs="Arial"/>
                <w:b/>
                <w:sz w:val="24"/>
                <w:szCs w:val="28"/>
                <w:lang w:val="fr-FR"/>
              </w:rPr>
              <w:t>LABORATORIES</w:t>
            </w:r>
          </w:p>
          <w:p w:rsidR="00A608CE" w:rsidRDefault="00A608CE" w:rsidP="00C14343">
            <w:pPr>
              <w:pStyle w:val="BodyText"/>
              <w:jc w:val="both"/>
              <w:rPr>
                <w:b/>
              </w:rPr>
            </w:pPr>
          </w:p>
          <w:p w:rsidR="00C14343" w:rsidRPr="00C14343" w:rsidRDefault="00C14343" w:rsidP="00C14343">
            <w:pPr>
              <w:jc w:val="both"/>
              <w:rPr>
                <w:b/>
                <w:sz w:val="24"/>
                <w:szCs w:val="24"/>
              </w:rPr>
            </w:pPr>
            <w:r w:rsidRPr="00C14343">
              <w:rPr>
                <w:b/>
                <w:sz w:val="24"/>
                <w:szCs w:val="24"/>
              </w:rPr>
              <w:t>Background</w:t>
            </w:r>
            <w:r w:rsidR="00946BD7">
              <w:rPr>
                <w:b/>
                <w:sz w:val="24"/>
                <w:szCs w:val="24"/>
              </w:rPr>
              <w:t>:</w:t>
            </w:r>
          </w:p>
          <w:p w:rsidR="00C14343" w:rsidRDefault="00C14343" w:rsidP="00C14343">
            <w:pPr>
              <w:jc w:val="both"/>
            </w:pPr>
          </w:p>
          <w:p w:rsidR="00C94827" w:rsidRDefault="00C94827" w:rsidP="00C14343">
            <w:pPr>
              <w:jc w:val="both"/>
            </w:pPr>
            <w:r>
              <w:t xml:space="preserve">Errors which occur during the pre-transfusion blood sampling process </w:t>
            </w:r>
            <w:r w:rsidR="003F41AD">
              <w:t>are</w:t>
            </w:r>
            <w:r>
              <w:t xml:space="preserve"> a </w:t>
            </w:r>
            <w:r w:rsidR="003F41AD">
              <w:t xml:space="preserve">potential </w:t>
            </w:r>
            <w:r>
              <w:t xml:space="preserve">source of patient harm. Undetected patient mis-identification may result in the transfusion of ABO incompatible blood or blood components with potentially fatal consequences. A robust laboratory sample acceptance policy is recommended by BSH Guidance and UKAS to help reduce the risk of such events, by identifying samples which have been labelled incorrectly and rejecting them before any testing is performed. </w:t>
            </w:r>
          </w:p>
          <w:p w:rsidR="00C94827" w:rsidRDefault="00C94827" w:rsidP="00C14343">
            <w:pPr>
              <w:jc w:val="both"/>
            </w:pPr>
          </w:p>
          <w:p w:rsidR="00C94827" w:rsidRPr="0012412F" w:rsidRDefault="00C94827" w:rsidP="00C14343">
            <w:pPr>
              <w:jc w:val="both"/>
            </w:pPr>
            <w:r>
              <w:t>This document outlines the SNBTS approach to sample acceptance.</w:t>
            </w:r>
            <w:r w:rsidR="00482FF1">
              <w:t xml:space="preserve"> A risk based review of the previous version of this policy was performed</w:t>
            </w:r>
            <w:r w:rsidR="003F41AD">
              <w:t xml:space="preserve">, with a particular focus on samples for tests other than pre-transfusion testing, </w:t>
            </w:r>
            <w:r w:rsidR="00482FF1">
              <w:t xml:space="preserve">where the consequences of patient misidentification </w:t>
            </w:r>
            <w:r w:rsidR="00CC5E6E">
              <w:t>are</w:t>
            </w:r>
            <w:r w:rsidR="003F41AD">
              <w:t xml:space="preserve"> less grave.</w:t>
            </w:r>
            <w:r w:rsidR="00CC5E6E">
              <w:t xml:space="preserve"> </w:t>
            </w:r>
            <w:r>
              <w:t xml:space="preserve">This most recent version incorporates new guidance for the acceptance criteria to be applied to non-pre transfusion samples processed </w:t>
            </w:r>
            <w:r w:rsidR="00482FF1">
              <w:t xml:space="preserve">in </w:t>
            </w:r>
            <w:r w:rsidR="00CC5E6E">
              <w:t>P</w:t>
            </w:r>
            <w:r w:rsidR="00482FF1">
              <w:t xml:space="preserve">atient </w:t>
            </w:r>
            <w:r w:rsidR="00CC5E6E">
              <w:t>S</w:t>
            </w:r>
            <w:r w:rsidR="00482FF1">
              <w:t>ervices laboratories</w:t>
            </w:r>
            <w:r w:rsidR="003F41AD">
              <w:t xml:space="preserve"> including hospital blood banks, red cell </w:t>
            </w:r>
            <w:r w:rsidR="0031789B">
              <w:t>immunohematology</w:t>
            </w:r>
            <w:r w:rsidR="003F41AD">
              <w:t xml:space="preserve"> laboratories and histocompatibility and immunogenetics laboratories.</w:t>
            </w:r>
          </w:p>
          <w:p w:rsidR="00C14343" w:rsidRDefault="00C14343" w:rsidP="00C14343">
            <w:pPr>
              <w:jc w:val="both"/>
              <w:rPr>
                <w:sz w:val="24"/>
                <w:szCs w:val="24"/>
              </w:rPr>
            </w:pPr>
          </w:p>
          <w:p w:rsidR="00C14343" w:rsidRDefault="00C14343" w:rsidP="00C14343">
            <w:pPr>
              <w:jc w:val="both"/>
              <w:rPr>
                <w:sz w:val="24"/>
                <w:szCs w:val="24"/>
              </w:rPr>
            </w:pPr>
          </w:p>
          <w:p w:rsidR="00C14343" w:rsidRDefault="00C14343" w:rsidP="00C14343">
            <w:pPr>
              <w:jc w:val="both"/>
              <w:rPr>
                <w:sz w:val="24"/>
                <w:szCs w:val="24"/>
              </w:rPr>
            </w:pPr>
          </w:p>
          <w:p w:rsidR="00404A2B" w:rsidRDefault="00404A2B" w:rsidP="00404A2B">
            <w:pPr>
              <w:tabs>
                <w:tab w:val="left" w:pos="2127"/>
              </w:tabs>
              <w:jc w:val="both"/>
              <w:rPr>
                <w:b/>
                <w:sz w:val="24"/>
              </w:rPr>
            </w:pPr>
            <w:r>
              <w:rPr>
                <w:b/>
                <w:sz w:val="24"/>
              </w:rPr>
              <w:t xml:space="preserve">Note: This policy does not apply to samples relating to </w:t>
            </w:r>
            <w:r w:rsidR="00FC4343">
              <w:rPr>
                <w:b/>
                <w:sz w:val="24"/>
              </w:rPr>
              <w:t xml:space="preserve">donors of </w:t>
            </w:r>
            <w:r>
              <w:rPr>
                <w:b/>
                <w:sz w:val="24"/>
              </w:rPr>
              <w:t>blood, tissue or cell</w:t>
            </w:r>
            <w:r w:rsidR="00FC4343">
              <w:rPr>
                <w:b/>
                <w:sz w:val="24"/>
              </w:rPr>
              <w:t>s</w:t>
            </w:r>
          </w:p>
          <w:p w:rsidR="00C14343" w:rsidRDefault="00C14343" w:rsidP="00C14343">
            <w:pPr>
              <w:jc w:val="both"/>
              <w:rPr>
                <w:sz w:val="24"/>
                <w:szCs w:val="24"/>
              </w:rPr>
            </w:pPr>
          </w:p>
          <w:p w:rsidR="00C14343" w:rsidRPr="00C14343" w:rsidRDefault="00C14343" w:rsidP="00C14343">
            <w:pPr>
              <w:jc w:val="both"/>
              <w:rPr>
                <w:sz w:val="24"/>
                <w:szCs w:val="24"/>
              </w:rPr>
            </w:pPr>
          </w:p>
          <w:p w:rsidR="00A608CE" w:rsidRDefault="00A608CE" w:rsidP="00C14343">
            <w:pPr>
              <w:ind w:left="498"/>
              <w:jc w:val="both"/>
              <w:rPr>
                <w:sz w:val="24"/>
              </w:rPr>
            </w:pPr>
          </w:p>
        </w:tc>
      </w:tr>
    </w:tbl>
    <w:p w:rsidR="00B74840" w:rsidRDefault="00B74840">
      <w:pPr>
        <w:rPr>
          <w:i/>
        </w:rPr>
      </w:pPr>
    </w:p>
    <w:p w:rsidR="00B74840" w:rsidRDefault="00B74840">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B74840" w:rsidRPr="0055133C" w:rsidTr="00CB663F">
        <w:tc>
          <w:tcPr>
            <w:tcW w:w="9854" w:type="dxa"/>
            <w:shd w:val="clear" w:color="auto" w:fill="D9D9D9"/>
          </w:tcPr>
          <w:p w:rsidR="00B74840" w:rsidRPr="0055133C" w:rsidRDefault="00B74840" w:rsidP="00CB663F">
            <w:pPr>
              <w:pStyle w:val="SOPChanges"/>
              <w:spacing w:after="0"/>
              <w:rPr>
                <w:rFonts w:cs="Arial"/>
                <w:b/>
                <w:bCs/>
              </w:rPr>
            </w:pPr>
            <w:r>
              <w:rPr>
                <w:rFonts w:cs="Arial"/>
                <w:b/>
                <w:bCs/>
              </w:rPr>
              <w:t>Key Changes from Previous Revision</w:t>
            </w:r>
          </w:p>
        </w:tc>
      </w:tr>
      <w:tr w:rsidR="00B74840" w:rsidRPr="0055133C" w:rsidTr="00CB663F">
        <w:tc>
          <w:tcPr>
            <w:tcW w:w="9854" w:type="dxa"/>
          </w:tcPr>
          <w:p w:rsidR="00357FF0" w:rsidRDefault="00357FF0" w:rsidP="00CB663F">
            <w:pPr>
              <w:pStyle w:val="SOPChanges"/>
              <w:spacing w:after="0"/>
              <w:rPr>
                <w:rFonts w:cs="Arial"/>
                <w:bCs/>
              </w:rPr>
            </w:pPr>
          </w:p>
          <w:p w:rsidR="00AC53D6" w:rsidRDefault="00AC53D6" w:rsidP="00CB663F">
            <w:pPr>
              <w:pStyle w:val="SOPChanges"/>
              <w:spacing w:after="0"/>
              <w:rPr>
                <w:rFonts w:cs="Arial"/>
                <w:bCs/>
              </w:rPr>
            </w:pPr>
          </w:p>
          <w:p w:rsidR="00760366" w:rsidRPr="0055133C" w:rsidRDefault="00760366" w:rsidP="00CB663F">
            <w:pPr>
              <w:pStyle w:val="SOPChanges"/>
              <w:spacing w:after="0"/>
              <w:rPr>
                <w:rFonts w:cs="Arial"/>
                <w:bCs/>
              </w:rPr>
            </w:pPr>
            <w:r>
              <w:rPr>
                <w:rFonts w:cs="Arial"/>
                <w:bCs/>
              </w:rPr>
              <w:t>Section 3.1.1.2 added to clarify that samples from Western Isle Hospital for FMH estimation must be hand labelled.</w:t>
            </w:r>
          </w:p>
          <w:p w:rsidR="00B74840" w:rsidRPr="0055133C" w:rsidRDefault="00B74840" w:rsidP="00CB663F">
            <w:pPr>
              <w:pStyle w:val="SOPChanges"/>
              <w:spacing w:after="0"/>
              <w:rPr>
                <w:rFonts w:cs="Arial"/>
                <w:bCs/>
              </w:rPr>
            </w:pPr>
          </w:p>
          <w:p w:rsidR="00B74840" w:rsidRPr="0055133C" w:rsidRDefault="00B74840" w:rsidP="00CB663F">
            <w:pPr>
              <w:pStyle w:val="SOPChanges"/>
              <w:spacing w:after="0"/>
              <w:rPr>
                <w:rFonts w:cs="Arial"/>
                <w:bCs/>
              </w:rPr>
            </w:pPr>
          </w:p>
        </w:tc>
      </w:tr>
    </w:tbl>
    <w:p w:rsidR="000C592F" w:rsidRDefault="000C592F">
      <w:pPr>
        <w:rPr>
          <w:i/>
        </w:rPr>
      </w:pPr>
    </w:p>
    <w:p w:rsidR="000C592F" w:rsidRDefault="000C592F">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3194"/>
        <w:gridCol w:w="3193"/>
      </w:tblGrid>
      <w:tr w:rsidR="005C059F" w:rsidRPr="0082690B">
        <w:tc>
          <w:tcPr>
            <w:tcW w:w="3285" w:type="dxa"/>
          </w:tcPr>
          <w:p w:rsidR="005C059F" w:rsidRPr="0082690B" w:rsidRDefault="005C059F" w:rsidP="0082690B">
            <w:pPr>
              <w:spacing w:before="120" w:after="120"/>
              <w:rPr>
                <w:b/>
                <w:sz w:val="24"/>
                <w:szCs w:val="24"/>
              </w:rPr>
            </w:pPr>
            <w:r w:rsidRPr="0082690B">
              <w:rPr>
                <w:b/>
                <w:sz w:val="24"/>
                <w:szCs w:val="24"/>
              </w:rPr>
              <w:t>Policy Agreement</w:t>
            </w:r>
          </w:p>
        </w:tc>
        <w:tc>
          <w:tcPr>
            <w:tcW w:w="3286" w:type="dxa"/>
          </w:tcPr>
          <w:p w:rsidR="005C059F" w:rsidRPr="0082690B" w:rsidRDefault="00AC53D6" w:rsidP="004A7495">
            <w:pPr>
              <w:tabs>
                <w:tab w:val="left" w:pos="1110"/>
              </w:tabs>
              <w:spacing w:before="120" w:after="120"/>
              <w:rPr>
                <w:sz w:val="24"/>
                <w:szCs w:val="24"/>
              </w:rPr>
            </w:pPr>
            <w:r>
              <w:rPr>
                <w:sz w:val="24"/>
                <w:szCs w:val="24"/>
              </w:rPr>
              <w:t>CGSG</w:t>
            </w:r>
            <w:r w:rsidR="005C059F" w:rsidRPr="0082690B">
              <w:rPr>
                <w:sz w:val="24"/>
                <w:szCs w:val="24"/>
              </w:rPr>
              <w:t>:</w:t>
            </w:r>
            <w:r w:rsidR="005C059F" w:rsidRPr="0082690B">
              <w:rPr>
                <w:sz w:val="24"/>
                <w:szCs w:val="24"/>
              </w:rPr>
              <w:tab/>
            </w:r>
            <w:r w:rsidR="004A7495">
              <w:rPr>
                <w:sz w:val="24"/>
                <w:szCs w:val="24"/>
              </w:rPr>
              <w:t>09 Jun 20</w:t>
            </w:r>
            <w:r w:rsidR="000430E8">
              <w:rPr>
                <w:sz w:val="24"/>
                <w:szCs w:val="24"/>
              </w:rPr>
              <w:t>21</w:t>
            </w:r>
          </w:p>
        </w:tc>
        <w:tc>
          <w:tcPr>
            <w:tcW w:w="3286" w:type="dxa"/>
          </w:tcPr>
          <w:p w:rsidR="005C059F" w:rsidRPr="0082690B" w:rsidRDefault="00FD19E4" w:rsidP="0082690B">
            <w:pPr>
              <w:tabs>
                <w:tab w:val="left" w:pos="942"/>
              </w:tabs>
              <w:spacing w:before="120" w:after="120"/>
              <w:rPr>
                <w:sz w:val="24"/>
                <w:szCs w:val="24"/>
              </w:rPr>
            </w:pPr>
            <w:r w:rsidRPr="0082690B">
              <w:rPr>
                <w:sz w:val="24"/>
                <w:szCs w:val="24"/>
              </w:rPr>
              <w:t>SMT</w:t>
            </w:r>
            <w:r w:rsidR="005C059F" w:rsidRPr="0082690B">
              <w:rPr>
                <w:sz w:val="24"/>
                <w:szCs w:val="24"/>
              </w:rPr>
              <w:t>:</w:t>
            </w:r>
            <w:r w:rsidR="005C059F" w:rsidRPr="0082690B">
              <w:rPr>
                <w:sz w:val="24"/>
                <w:szCs w:val="24"/>
              </w:rPr>
              <w:tab/>
            </w:r>
            <w:r w:rsidR="00C159D9">
              <w:rPr>
                <w:sz w:val="24"/>
                <w:szCs w:val="24"/>
              </w:rPr>
              <w:t>N/A</w:t>
            </w:r>
          </w:p>
        </w:tc>
      </w:tr>
      <w:tr w:rsidR="005C059F" w:rsidRPr="0082690B">
        <w:tc>
          <w:tcPr>
            <w:tcW w:w="3285" w:type="dxa"/>
          </w:tcPr>
          <w:p w:rsidR="005C059F" w:rsidRPr="0082690B" w:rsidRDefault="005C059F" w:rsidP="0082690B">
            <w:pPr>
              <w:spacing w:before="120" w:after="120"/>
              <w:rPr>
                <w:b/>
                <w:sz w:val="24"/>
                <w:szCs w:val="24"/>
              </w:rPr>
            </w:pPr>
            <w:r w:rsidRPr="0082690B">
              <w:rPr>
                <w:b/>
                <w:sz w:val="24"/>
                <w:szCs w:val="24"/>
              </w:rPr>
              <w:t>Supersedes Policy Ref:</w:t>
            </w:r>
          </w:p>
        </w:tc>
        <w:tc>
          <w:tcPr>
            <w:tcW w:w="6572" w:type="dxa"/>
            <w:gridSpan w:val="2"/>
          </w:tcPr>
          <w:p w:rsidR="005C059F" w:rsidRPr="0082690B" w:rsidRDefault="00357FF0" w:rsidP="00760366">
            <w:pPr>
              <w:spacing w:before="120" w:after="120"/>
              <w:rPr>
                <w:sz w:val="24"/>
                <w:szCs w:val="24"/>
              </w:rPr>
            </w:pPr>
            <w:r>
              <w:rPr>
                <w:sz w:val="24"/>
                <w:szCs w:val="24"/>
              </w:rPr>
              <w:t xml:space="preserve">NATP CLIN 037 </w:t>
            </w:r>
            <w:r w:rsidR="00760366">
              <w:rPr>
                <w:sz w:val="24"/>
                <w:szCs w:val="24"/>
              </w:rPr>
              <w:t>04</w:t>
            </w:r>
          </w:p>
        </w:tc>
      </w:tr>
      <w:tr w:rsidR="005C059F" w:rsidRPr="0082690B">
        <w:tc>
          <w:tcPr>
            <w:tcW w:w="3285" w:type="dxa"/>
          </w:tcPr>
          <w:p w:rsidR="005C059F" w:rsidRPr="0082690B" w:rsidRDefault="005C059F" w:rsidP="0082690B">
            <w:pPr>
              <w:spacing w:before="120" w:after="120"/>
              <w:rPr>
                <w:b/>
                <w:sz w:val="24"/>
                <w:szCs w:val="24"/>
              </w:rPr>
            </w:pPr>
            <w:r w:rsidRPr="0082690B">
              <w:rPr>
                <w:b/>
                <w:sz w:val="24"/>
                <w:szCs w:val="24"/>
              </w:rPr>
              <w:t>Date Of Implementation:</w:t>
            </w:r>
          </w:p>
        </w:tc>
        <w:tc>
          <w:tcPr>
            <w:tcW w:w="6572" w:type="dxa"/>
            <w:gridSpan w:val="2"/>
          </w:tcPr>
          <w:p w:rsidR="005C059F" w:rsidRPr="0082690B" w:rsidRDefault="004A7495" w:rsidP="0082690B">
            <w:pPr>
              <w:spacing w:before="120" w:after="120"/>
              <w:rPr>
                <w:sz w:val="24"/>
                <w:szCs w:val="24"/>
              </w:rPr>
            </w:pPr>
            <w:r>
              <w:rPr>
                <w:sz w:val="24"/>
                <w:szCs w:val="24"/>
              </w:rPr>
              <w:t>26</w:t>
            </w:r>
            <w:r w:rsidRPr="004A7495">
              <w:rPr>
                <w:sz w:val="24"/>
                <w:szCs w:val="24"/>
                <w:vertAlign w:val="superscript"/>
              </w:rPr>
              <w:t>th</w:t>
            </w:r>
            <w:r>
              <w:rPr>
                <w:sz w:val="24"/>
                <w:szCs w:val="24"/>
              </w:rPr>
              <w:t xml:space="preserve"> July 2021</w:t>
            </w:r>
          </w:p>
        </w:tc>
      </w:tr>
    </w:tbl>
    <w:p w:rsidR="00C14343" w:rsidRDefault="00C14343">
      <w:pPr>
        <w:rPr>
          <w:i/>
        </w:rPr>
      </w:pPr>
    </w:p>
    <w:p w:rsidR="000430E8" w:rsidRDefault="000430E8">
      <w:pPr>
        <w:rPr>
          <w:i/>
        </w:rPr>
      </w:pPr>
    </w:p>
    <w:p w:rsidR="000430E8" w:rsidRDefault="000430E8">
      <w:pPr>
        <w:rPr>
          <w:i/>
        </w:rPr>
      </w:pPr>
    </w:p>
    <w:p w:rsidR="000430E8" w:rsidRDefault="000430E8">
      <w:pPr>
        <w:rPr>
          <w:i/>
        </w:rPr>
      </w:pPr>
    </w:p>
    <w:p w:rsidR="00C14343" w:rsidRPr="00924140" w:rsidRDefault="00924140" w:rsidP="00924140">
      <w:pPr>
        <w:numPr>
          <w:ilvl w:val="0"/>
          <w:numId w:val="32"/>
        </w:numPr>
        <w:pBdr>
          <w:top w:val="single" w:sz="4" w:space="1" w:color="auto"/>
          <w:left w:val="single" w:sz="4" w:space="4" w:color="auto"/>
          <w:bottom w:val="single" w:sz="4" w:space="1" w:color="auto"/>
          <w:right w:val="single" w:sz="4" w:space="4" w:color="auto"/>
        </w:pBdr>
        <w:shd w:val="clear" w:color="auto" w:fill="D9D9D9"/>
        <w:rPr>
          <w:b/>
          <w:sz w:val="24"/>
        </w:rPr>
      </w:pPr>
      <w:r w:rsidRPr="00924140">
        <w:rPr>
          <w:b/>
          <w:sz w:val="24"/>
        </w:rPr>
        <w:t>Background</w:t>
      </w:r>
    </w:p>
    <w:p w:rsidR="00F8528B" w:rsidRDefault="00F8528B" w:rsidP="00C14343">
      <w:pPr>
        <w:jc w:val="both"/>
        <w:rPr>
          <w:b/>
          <w:sz w:val="24"/>
          <w:szCs w:val="24"/>
        </w:rPr>
      </w:pPr>
    </w:p>
    <w:p w:rsidR="008166F6" w:rsidRDefault="00E77498" w:rsidP="008166F6">
      <w:pPr>
        <w:numPr>
          <w:ilvl w:val="1"/>
          <w:numId w:val="19"/>
        </w:numPr>
        <w:jc w:val="both"/>
        <w:rPr>
          <w:szCs w:val="22"/>
        </w:rPr>
      </w:pPr>
      <w:r w:rsidRPr="008D3B5A">
        <w:rPr>
          <w:szCs w:val="22"/>
        </w:rPr>
        <w:t>Errors occurring during the pre-transfusion sampling process are a potential source of patient harm</w:t>
      </w:r>
      <w:r w:rsidR="009A7325">
        <w:rPr>
          <w:szCs w:val="22"/>
        </w:rPr>
        <w:t>.</w:t>
      </w:r>
      <w:r w:rsidRPr="008D3B5A">
        <w:rPr>
          <w:szCs w:val="22"/>
        </w:rPr>
        <w:t xml:space="preserve"> </w:t>
      </w:r>
      <w:r w:rsidR="009A7325">
        <w:rPr>
          <w:szCs w:val="22"/>
        </w:rPr>
        <w:t>This is illustrated by SHOT data with</w:t>
      </w:r>
      <w:r w:rsidRPr="008D3B5A">
        <w:rPr>
          <w:szCs w:val="22"/>
        </w:rPr>
        <w:t xml:space="preserve"> </w:t>
      </w:r>
      <w:r w:rsidR="009A7325">
        <w:rPr>
          <w:szCs w:val="22"/>
        </w:rPr>
        <w:t>t</w:t>
      </w:r>
      <w:r w:rsidRPr="008D3B5A">
        <w:rPr>
          <w:szCs w:val="22"/>
        </w:rPr>
        <w:t>he most recent SHOT report</w:t>
      </w:r>
      <w:r w:rsidR="00CF0F5D" w:rsidRPr="008D3B5A">
        <w:rPr>
          <w:szCs w:val="22"/>
          <w:vertAlign w:val="superscript"/>
        </w:rPr>
        <w:t>1</w:t>
      </w:r>
      <w:r w:rsidR="009A7325">
        <w:rPr>
          <w:szCs w:val="22"/>
        </w:rPr>
        <w:t xml:space="preserve"> identifying</w:t>
      </w:r>
      <w:r w:rsidRPr="008D3B5A">
        <w:rPr>
          <w:szCs w:val="22"/>
        </w:rPr>
        <w:t xml:space="preserve"> 792 ‘wrong blood in tube’ (WBIT) events, making it the single most common type of ‘near miss’</w:t>
      </w:r>
      <w:r w:rsidR="00544C1F" w:rsidRPr="008D3B5A">
        <w:rPr>
          <w:szCs w:val="22"/>
        </w:rPr>
        <w:t xml:space="preserve"> event</w:t>
      </w:r>
      <w:r w:rsidRPr="008D3B5A">
        <w:rPr>
          <w:szCs w:val="22"/>
        </w:rPr>
        <w:t xml:space="preserve"> reported. In just over half of cases, an ABO incompatible transfu</w:t>
      </w:r>
      <w:r w:rsidR="00544C1F" w:rsidRPr="008D3B5A">
        <w:rPr>
          <w:szCs w:val="22"/>
        </w:rPr>
        <w:t>sion may have been administered</w:t>
      </w:r>
      <w:r w:rsidRPr="008D3B5A">
        <w:rPr>
          <w:szCs w:val="22"/>
        </w:rPr>
        <w:t xml:space="preserve"> had the error not been detected.</w:t>
      </w:r>
      <w:r w:rsidR="00E7615D" w:rsidRPr="008D3B5A">
        <w:rPr>
          <w:szCs w:val="22"/>
        </w:rPr>
        <w:t xml:space="preserve"> </w:t>
      </w:r>
      <w:r w:rsidR="00FC3B41" w:rsidRPr="008D3B5A">
        <w:rPr>
          <w:szCs w:val="22"/>
        </w:rPr>
        <w:t xml:space="preserve">The incidence of </w:t>
      </w:r>
      <w:r w:rsidR="00D871EA" w:rsidRPr="008D3B5A">
        <w:rPr>
          <w:szCs w:val="22"/>
        </w:rPr>
        <w:t xml:space="preserve">WBIT </w:t>
      </w:r>
      <w:r w:rsidR="00FC3B41" w:rsidRPr="008D3B5A">
        <w:rPr>
          <w:szCs w:val="22"/>
        </w:rPr>
        <w:t>events</w:t>
      </w:r>
      <w:r w:rsidR="00D871EA" w:rsidRPr="008D3B5A">
        <w:rPr>
          <w:szCs w:val="22"/>
        </w:rPr>
        <w:t xml:space="preserve"> vary between studies</w:t>
      </w:r>
      <w:r w:rsidR="002547D3">
        <w:rPr>
          <w:szCs w:val="22"/>
        </w:rPr>
        <w:t xml:space="preserve"> but are of the order of 1 in 10</w:t>
      </w:r>
      <w:r w:rsidR="00D871EA" w:rsidRPr="008D3B5A">
        <w:rPr>
          <w:szCs w:val="22"/>
        </w:rPr>
        <w:t xml:space="preserve">00 samples </w:t>
      </w:r>
      <w:r w:rsidR="00E7615D" w:rsidRPr="008D3B5A">
        <w:rPr>
          <w:szCs w:val="22"/>
        </w:rPr>
        <w:t>drawn</w:t>
      </w:r>
      <w:r w:rsidR="002547D3" w:rsidRPr="002547D3">
        <w:rPr>
          <w:szCs w:val="22"/>
          <w:vertAlign w:val="superscript"/>
        </w:rPr>
        <w:t>2</w:t>
      </w:r>
      <w:r w:rsidR="00E7615D" w:rsidRPr="008D3B5A">
        <w:rPr>
          <w:szCs w:val="22"/>
        </w:rPr>
        <w:t>.</w:t>
      </w:r>
    </w:p>
    <w:p w:rsidR="008166F6" w:rsidRDefault="008166F6" w:rsidP="008166F6">
      <w:pPr>
        <w:ind w:left="360"/>
        <w:jc w:val="both"/>
        <w:rPr>
          <w:szCs w:val="22"/>
        </w:rPr>
      </w:pPr>
    </w:p>
    <w:p w:rsidR="008166F6" w:rsidRDefault="00374A19" w:rsidP="0066351A">
      <w:pPr>
        <w:numPr>
          <w:ilvl w:val="1"/>
          <w:numId w:val="19"/>
        </w:numPr>
        <w:jc w:val="both"/>
        <w:rPr>
          <w:szCs w:val="22"/>
        </w:rPr>
      </w:pPr>
      <w:r w:rsidRPr="008A1D1B">
        <w:rPr>
          <w:szCs w:val="22"/>
        </w:rPr>
        <w:t xml:space="preserve">It is well recognised that inappropriately or mislabelled samples are more likely to contain blood from the wrong patient, supporting the use of sample acceptance policies which reject mislabelled samples. The incidence of WBIT has been demonstrated to be up to 55 times higher in mislabelled samples than in those correctly labelled at the time of sampling </w:t>
      </w:r>
      <w:r w:rsidRPr="008A1D1B">
        <w:rPr>
          <w:szCs w:val="22"/>
          <w:vertAlign w:val="superscript"/>
        </w:rPr>
        <w:t>3,4</w:t>
      </w:r>
      <w:r w:rsidRPr="008A1D1B">
        <w:rPr>
          <w:szCs w:val="22"/>
        </w:rPr>
        <w:t xml:space="preserve">. </w:t>
      </w:r>
      <w:r w:rsidR="008A1D1B">
        <w:rPr>
          <w:szCs w:val="22"/>
        </w:rPr>
        <w:t>Other studies have shown that</w:t>
      </w:r>
      <w:r w:rsidR="008A1D1B" w:rsidRPr="008D3B5A">
        <w:rPr>
          <w:szCs w:val="22"/>
        </w:rPr>
        <w:t xml:space="preserve"> strictly enforced sample acceptance policy can significantly reduce the incidence of WBIT events and mislabelled samples</w:t>
      </w:r>
      <w:r w:rsidR="008A1D1B" w:rsidRPr="008A1D1B">
        <w:rPr>
          <w:szCs w:val="22"/>
          <w:vertAlign w:val="superscript"/>
        </w:rPr>
        <w:t>5</w:t>
      </w:r>
      <w:r w:rsidR="008A1D1B">
        <w:rPr>
          <w:szCs w:val="22"/>
        </w:rPr>
        <w:t>.</w:t>
      </w:r>
    </w:p>
    <w:p w:rsidR="008A1D1B" w:rsidRPr="008A1D1B" w:rsidRDefault="008A1D1B" w:rsidP="008A1D1B">
      <w:pPr>
        <w:jc w:val="both"/>
        <w:rPr>
          <w:szCs w:val="22"/>
        </w:rPr>
      </w:pPr>
    </w:p>
    <w:p w:rsidR="009D5847" w:rsidRPr="008166F6" w:rsidRDefault="009D5847" w:rsidP="008166F6">
      <w:pPr>
        <w:numPr>
          <w:ilvl w:val="1"/>
          <w:numId w:val="19"/>
        </w:numPr>
        <w:jc w:val="both"/>
        <w:rPr>
          <w:szCs w:val="22"/>
        </w:rPr>
      </w:pPr>
      <w:r w:rsidRPr="008166F6">
        <w:rPr>
          <w:szCs w:val="22"/>
        </w:rPr>
        <w:t>The British Society for Haematology (BSH) Guidelines on the administration of blood components 2009</w:t>
      </w:r>
      <w:r w:rsidR="0031789B">
        <w:rPr>
          <w:szCs w:val="22"/>
          <w:vertAlign w:val="superscript"/>
        </w:rPr>
        <w:t>6</w:t>
      </w:r>
      <w:r w:rsidRPr="008166F6">
        <w:rPr>
          <w:szCs w:val="22"/>
        </w:rPr>
        <w:t xml:space="preserve"> recommended a zero tolerance approach </w:t>
      </w:r>
      <w:r w:rsidR="006F28B5" w:rsidRPr="008166F6">
        <w:rPr>
          <w:szCs w:val="22"/>
        </w:rPr>
        <w:t>be</w:t>
      </w:r>
      <w:r w:rsidRPr="008166F6">
        <w:rPr>
          <w:szCs w:val="22"/>
        </w:rPr>
        <w:t xml:space="preserve"> applied to pre-transfusion samples:</w:t>
      </w:r>
    </w:p>
    <w:p w:rsidR="009D5847" w:rsidRPr="008D3B5A" w:rsidRDefault="009D5847" w:rsidP="009D5847">
      <w:pPr>
        <w:jc w:val="both"/>
        <w:rPr>
          <w:szCs w:val="22"/>
        </w:rPr>
      </w:pPr>
      <w:r w:rsidRPr="008D3B5A">
        <w:rPr>
          <w:szCs w:val="22"/>
        </w:rPr>
        <w:t xml:space="preserve"> </w:t>
      </w:r>
    </w:p>
    <w:p w:rsidR="009D5847" w:rsidRPr="008D3B5A" w:rsidRDefault="009D5847" w:rsidP="009A7325">
      <w:pPr>
        <w:ind w:left="709" w:right="710" w:firstLine="11"/>
        <w:jc w:val="both"/>
        <w:rPr>
          <w:i/>
          <w:szCs w:val="22"/>
        </w:rPr>
      </w:pPr>
      <w:r w:rsidRPr="008D3B5A">
        <w:rPr>
          <w:i/>
          <w:szCs w:val="22"/>
        </w:rPr>
        <w:t>“12.3 Organisations should have a clear policy on the rejection of pre-transfusion blood samples which do not meet minimum labelling requirements. There should be no changes or amendment of patient core identifiers once samples have been sent to the laboratory. It is suggested that organisations should adopt a ‘zero tolerance’ policy.”</w:t>
      </w:r>
    </w:p>
    <w:p w:rsidR="009D5847" w:rsidRPr="008D3B5A" w:rsidRDefault="009D5847" w:rsidP="009D5847">
      <w:pPr>
        <w:ind w:left="360"/>
        <w:jc w:val="both"/>
        <w:rPr>
          <w:i/>
          <w:szCs w:val="22"/>
        </w:rPr>
      </w:pPr>
    </w:p>
    <w:p w:rsidR="009D5847" w:rsidRPr="008D3B5A" w:rsidRDefault="009D5847" w:rsidP="009D5847">
      <w:pPr>
        <w:ind w:left="360"/>
        <w:jc w:val="both"/>
        <w:rPr>
          <w:szCs w:val="22"/>
        </w:rPr>
      </w:pPr>
      <w:r w:rsidRPr="008D3B5A">
        <w:rPr>
          <w:szCs w:val="22"/>
        </w:rPr>
        <w:t xml:space="preserve">The need for a clear </w:t>
      </w:r>
      <w:r w:rsidR="006F7A5F">
        <w:rPr>
          <w:szCs w:val="22"/>
        </w:rPr>
        <w:t>pre-</w:t>
      </w:r>
      <w:r w:rsidR="00B163B0" w:rsidRPr="008D3B5A">
        <w:rPr>
          <w:szCs w:val="22"/>
        </w:rPr>
        <w:t xml:space="preserve">transfusion sample </w:t>
      </w:r>
      <w:r w:rsidRPr="008D3B5A">
        <w:rPr>
          <w:szCs w:val="22"/>
        </w:rPr>
        <w:t>acceptance policy is reiterated in the updated BSH guidance published in 2017</w:t>
      </w:r>
      <w:r w:rsidR="0031789B">
        <w:rPr>
          <w:szCs w:val="22"/>
          <w:vertAlign w:val="superscript"/>
        </w:rPr>
        <w:t>7</w:t>
      </w:r>
      <w:r w:rsidR="00216491">
        <w:rPr>
          <w:szCs w:val="22"/>
          <w:vertAlign w:val="superscript"/>
        </w:rPr>
        <w:t xml:space="preserve"> </w:t>
      </w:r>
      <w:r w:rsidR="00216491">
        <w:rPr>
          <w:szCs w:val="22"/>
        </w:rPr>
        <w:t>and also in the BSH Guidelines for pre-transfusion compatibility procedures in transfusion laboratories</w:t>
      </w:r>
      <w:r w:rsidR="0031789B">
        <w:rPr>
          <w:szCs w:val="22"/>
          <w:vertAlign w:val="superscript"/>
        </w:rPr>
        <w:t>8</w:t>
      </w:r>
      <w:r w:rsidR="00216491">
        <w:rPr>
          <w:szCs w:val="22"/>
        </w:rPr>
        <w:t>.</w:t>
      </w:r>
    </w:p>
    <w:p w:rsidR="009D5847" w:rsidRPr="008D3B5A" w:rsidRDefault="009D5847" w:rsidP="009D5847">
      <w:pPr>
        <w:ind w:left="360"/>
        <w:jc w:val="both"/>
        <w:rPr>
          <w:i/>
          <w:szCs w:val="22"/>
        </w:rPr>
      </w:pPr>
    </w:p>
    <w:p w:rsidR="00F714BF" w:rsidRPr="009A7325" w:rsidRDefault="009A7325" w:rsidP="008166F6">
      <w:pPr>
        <w:numPr>
          <w:ilvl w:val="1"/>
          <w:numId w:val="19"/>
        </w:numPr>
        <w:autoSpaceDE w:val="0"/>
        <w:autoSpaceDN w:val="0"/>
        <w:adjustRightInd w:val="0"/>
        <w:jc w:val="both"/>
        <w:rPr>
          <w:rFonts w:cs="Arial"/>
          <w:szCs w:val="22"/>
        </w:rPr>
      </w:pPr>
      <w:r>
        <w:rPr>
          <w:szCs w:val="22"/>
        </w:rPr>
        <w:t xml:space="preserve">The </w:t>
      </w:r>
      <w:r w:rsidR="00F714BF" w:rsidRPr="008D3B5A">
        <w:rPr>
          <w:szCs w:val="22"/>
        </w:rPr>
        <w:t xml:space="preserve">BSI Standards for Medical Laboratories: requirements for quality and competence (ISO15189:2012) </w:t>
      </w:r>
      <w:r w:rsidR="00F714BF" w:rsidRPr="008D3B5A">
        <w:rPr>
          <w:rFonts w:cs="Arial"/>
          <w:szCs w:val="22"/>
        </w:rPr>
        <w:t>set out standards</w:t>
      </w:r>
      <w:r w:rsidR="006F7A5F">
        <w:rPr>
          <w:rFonts w:cs="Arial"/>
          <w:szCs w:val="22"/>
        </w:rPr>
        <w:t xml:space="preserve"> for</w:t>
      </w:r>
      <w:r w:rsidR="00F714BF" w:rsidRPr="008D3B5A">
        <w:rPr>
          <w:rFonts w:cs="Arial"/>
          <w:szCs w:val="22"/>
        </w:rPr>
        <w:t xml:space="preserve"> the content of request forms and instruc</w:t>
      </w:r>
      <w:r w:rsidR="00E15AB8">
        <w:rPr>
          <w:rFonts w:cs="Arial"/>
          <w:szCs w:val="22"/>
        </w:rPr>
        <w:t>tions for collection activities. These include</w:t>
      </w:r>
      <w:r w:rsidR="00F714BF" w:rsidRPr="008D3B5A">
        <w:rPr>
          <w:rFonts w:cs="Arial"/>
          <w:szCs w:val="22"/>
        </w:rPr>
        <w:t xml:space="preserve"> sample labelling that </w:t>
      </w:r>
      <w:r w:rsidR="00F714BF" w:rsidRPr="008D3B5A">
        <w:rPr>
          <w:rFonts w:cs="Arial"/>
          <w:i/>
          <w:szCs w:val="22"/>
        </w:rPr>
        <w:t xml:space="preserve">‘provides an unequivocal link with the patients from whom they are collected’. </w:t>
      </w:r>
      <w:r w:rsidR="00F714BF" w:rsidRPr="008D3B5A">
        <w:rPr>
          <w:rFonts w:cs="Arial"/>
          <w:szCs w:val="22"/>
        </w:rPr>
        <w:t xml:space="preserve"> The standards also require </w:t>
      </w:r>
      <w:r w:rsidR="00F714BF" w:rsidRPr="008D3B5A">
        <w:rPr>
          <w:rFonts w:cs="Arial"/>
          <w:i/>
          <w:szCs w:val="22"/>
        </w:rPr>
        <w:t>‘laboratory-developed and documented criteria for sample acceptance or rejection of samples’</w:t>
      </w:r>
      <w:r w:rsidR="00F714BF" w:rsidRPr="008D3B5A">
        <w:rPr>
          <w:rFonts w:cs="Arial"/>
          <w:szCs w:val="22"/>
        </w:rPr>
        <w:t xml:space="preserve">.   </w:t>
      </w:r>
    </w:p>
    <w:p w:rsidR="003D66E3" w:rsidRPr="008D3B5A" w:rsidRDefault="003D66E3" w:rsidP="003D66E3">
      <w:pPr>
        <w:pStyle w:val="ListParagraph"/>
        <w:rPr>
          <w:sz w:val="22"/>
          <w:szCs w:val="22"/>
        </w:rPr>
      </w:pPr>
    </w:p>
    <w:p w:rsidR="003D66E3" w:rsidRPr="008D3B5A" w:rsidRDefault="00F714BF" w:rsidP="00F714BF">
      <w:pPr>
        <w:ind w:left="360" w:hanging="360"/>
        <w:jc w:val="both"/>
        <w:rPr>
          <w:szCs w:val="22"/>
        </w:rPr>
      </w:pPr>
      <w:r w:rsidRPr="008D3B5A">
        <w:rPr>
          <w:szCs w:val="22"/>
        </w:rPr>
        <w:t>1.6</w:t>
      </w:r>
      <w:r w:rsidRPr="008D3B5A">
        <w:rPr>
          <w:szCs w:val="22"/>
        </w:rPr>
        <w:tab/>
      </w:r>
      <w:r w:rsidR="001A23C9" w:rsidRPr="008D3B5A">
        <w:rPr>
          <w:szCs w:val="22"/>
        </w:rPr>
        <w:t xml:space="preserve">The risk conveyed by mis-identification of blood samples varies with the tests to be performed. As discussed above, the risk of mis-identification of a pre-transfusion sample is that the patient may receive an ABO incompatible </w:t>
      </w:r>
      <w:r w:rsidR="001379AF">
        <w:rPr>
          <w:szCs w:val="22"/>
        </w:rPr>
        <w:t xml:space="preserve">blood or blood component </w:t>
      </w:r>
      <w:r w:rsidR="001A23C9" w:rsidRPr="008D3B5A">
        <w:rPr>
          <w:szCs w:val="22"/>
        </w:rPr>
        <w:t xml:space="preserve">transfusion which may have fatal consequences. Conversely, the risk associated with samples not for pre-transfusion testing may be lower, and risk assessment </w:t>
      </w:r>
      <w:r w:rsidR="009A7325">
        <w:rPr>
          <w:szCs w:val="22"/>
        </w:rPr>
        <w:t xml:space="preserve">of the different sample types </w:t>
      </w:r>
      <w:r w:rsidR="001A23C9" w:rsidRPr="008D3B5A">
        <w:rPr>
          <w:szCs w:val="22"/>
        </w:rPr>
        <w:t xml:space="preserve">can be </w:t>
      </w:r>
      <w:r w:rsidR="00334E8E" w:rsidRPr="008D3B5A">
        <w:rPr>
          <w:szCs w:val="22"/>
        </w:rPr>
        <w:t>applied</w:t>
      </w:r>
      <w:r w:rsidR="001A23C9" w:rsidRPr="008D3B5A">
        <w:rPr>
          <w:szCs w:val="22"/>
        </w:rPr>
        <w:t xml:space="preserve"> to attempt to quantify this risk.</w:t>
      </w:r>
    </w:p>
    <w:p w:rsidR="003D66E3" w:rsidRPr="008D3B5A" w:rsidRDefault="003D66E3" w:rsidP="009D5847">
      <w:pPr>
        <w:pStyle w:val="ListParagraph"/>
        <w:ind w:left="0"/>
        <w:rPr>
          <w:sz w:val="22"/>
          <w:szCs w:val="22"/>
        </w:rPr>
      </w:pPr>
    </w:p>
    <w:p w:rsidR="003D66E3" w:rsidRPr="009A7325" w:rsidRDefault="001E67F4" w:rsidP="009A7325">
      <w:pPr>
        <w:numPr>
          <w:ilvl w:val="1"/>
          <w:numId w:val="27"/>
        </w:numPr>
        <w:jc w:val="both"/>
        <w:rPr>
          <w:szCs w:val="22"/>
        </w:rPr>
      </w:pPr>
      <w:r w:rsidRPr="008D3B5A">
        <w:rPr>
          <w:szCs w:val="22"/>
        </w:rPr>
        <w:t>The previous version of this policy, NATP CLIN 037 03</w:t>
      </w:r>
      <w:r w:rsidR="003F5245">
        <w:rPr>
          <w:szCs w:val="22"/>
        </w:rPr>
        <w:t>,</w:t>
      </w:r>
      <w:r w:rsidRPr="008D3B5A">
        <w:rPr>
          <w:szCs w:val="22"/>
        </w:rPr>
        <w:t xml:space="preserve"> advocated a zero tolerance approach for all samples </w:t>
      </w:r>
      <w:r w:rsidR="001771D4" w:rsidRPr="008D3B5A">
        <w:rPr>
          <w:szCs w:val="22"/>
        </w:rPr>
        <w:t>sent for testing</w:t>
      </w:r>
      <w:r w:rsidRPr="008D3B5A">
        <w:rPr>
          <w:szCs w:val="22"/>
        </w:rPr>
        <w:t xml:space="preserve"> in SNBTS patient services laboratories</w:t>
      </w:r>
      <w:r w:rsidR="001A23C9" w:rsidRPr="008D3B5A">
        <w:rPr>
          <w:szCs w:val="22"/>
        </w:rPr>
        <w:t xml:space="preserve">. </w:t>
      </w:r>
      <w:r w:rsidR="009A7325">
        <w:rPr>
          <w:szCs w:val="22"/>
        </w:rPr>
        <w:t xml:space="preserve">As such, it stated that samples which did not meet the policy standard should be rejected and applied to all sample types. </w:t>
      </w:r>
      <w:r w:rsidR="00E15AB8">
        <w:rPr>
          <w:szCs w:val="22"/>
        </w:rPr>
        <w:t xml:space="preserve">This blanket approach was chosen to standardise processes and aimed to ensure that samples </w:t>
      </w:r>
      <w:r w:rsidR="006D436F">
        <w:rPr>
          <w:szCs w:val="22"/>
        </w:rPr>
        <w:t xml:space="preserve">which were accepted by one laboratory were accepted by all: particularly important for samples being referred from one site to another for testing. The policy also stipulated that if a sample which failed to meet these acceptance criteria was accepted for testing, an incident must be raised through the SNBTS incident management system. </w:t>
      </w:r>
      <w:r w:rsidR="006D436F" w:rsidRPr="009A7325">
        <w:rPr>
          <w:szCs w:val="22"/>
        </w:rPr>
        <w:t>On</w:t>
      </w:r>
      <w:r w:rsidR="001A23C9" w:rsidRPr="009A7325">
        <w:rPr>
          <w:szCs w:val="22"/>
        </w:rPr>
        <w:t xml:space="preserve"> review of </w:t>
      </w:r>
      <w:r w:rsidR="001771D4" w:rsidRPr="009A7325">
        <w:rPr>
          <w:szCs w:val="22"/>
        </w:rPr>
        <w:t xml:space="preserve">these </w:t>
      </w:r>
      <w:r w:rsidR="001A23C9" w:rsidRPr="009A7325">
        <w:rPr>
          <w:szCs w:val="22"/>
        </w:rPr>
        <w:t>reported incidents, it became clear that certain sample types were accepted when labelling did not meet the policy standard</w:t>
      </w:r>
      <w:r w:rsidR="001E09AB" w:rsidRPr="009A7325">
        <w:rPr>
          <w:szCs w:val="22"/>
        </w:rPr>
        <w:t xml:space="preserve"> and that the clinical reasoning applied to these decisions indicated a review of this blanket </w:t>
      </w:r>
      <w:r w:rsidR="001771D4" w:rsidRPr="009A7325">
        <w:rPr>
          <w:szCs w:val="22"/>
        </w:rPr>
        <w:t>‘</w:t>
      </w:r>
      <w:r w:rsidR="001E09AB" w:rsidRPr="009A7325">
        <w:rPr>
          <w:szCs w:val="22"/>
        </w:rPr>
        <w:t>zero tolerance</w:t>
      </w:r>
      <w:r w:rsidR="001771D4" w:rsidRPr="009A7325">
        <w:rPr>
          <w:szCs w:val="22"/>
        </w:rPr>
        <w:t>’</w:t>
      </w:r>
      <w:r w:rsidR="001E09AB" w:rsidRPr="009A7325">
        <w:rPr>
          <w:szCs w:val="22"/>
        </w:rPr>
        <w:t xml:space="preserve"> approach was justified</w:t>
      </w:r>
      <w:r w:rsidR="001A23C9" w:rsidRPr="009A7325">
        <w:rPr>
          <w:szCs w:val="22"/>
        </w:rPr>
        <w:t>.</w:t>
      </w:r>
    </w:p>
    <w:p w:rsidR="003D66E3" w:rsidRPr="008D3B5A" w:rsidRDefault="003D66E3" w:rsidP="003D66E3">
      <w:pPr>
        <w:pStyle w:val="ListParagraph"/>
        <w:rPr>
          <w:sz w:val="22"/>
          <w:szCs w:val="22"/>
        </w:rPr>
      </w:pPr>
    </w:p>
    <w:p w:rsidR="003D66E3" w:rsidRPr="008D3B5A" w:rsidRDefault="001A23C9" w:rsidP="00F714BF">
      <w:pPr>
        <w:numPr>
          <w:ilvl w:val="1"/>
          <w:numId w:val="27"/>
        </w:numPr>
        <w:jc w:val="both"/>
        <w:rPr>
          <w:szCs w:val="22"/>
        </w:rPr>
      </w:pPr>
      <w:r w:rsidRPr="008D3B5A">
        <w:rPr>
          <w:szCs w:val="22"/>
        </w:rPr>
        <w:t xml:space="preserve">The European Federation for Immunogenetics (EFI) Standards for Histocompatibility and Immunogenetics testing became effective in January </w:t>
      </w:r>
      <w:r w:rsidR="00AB60DA" w:rsidRPr="008D3B5A">
        <w:rPr>
          <w:szCs w:val="22"/>
        </w:rPr>
        <w:t>2020</w:t>
      </w:r>
      <w:r w:rsidR="0031789B">
        <w:rPr>
          <w:szCs w:val="22"/>
          <w:vertAlign w:val="superscript"/>
        </w:rPr>
        <w:t>9</w:t>
      </w:r>
      <w:r w:rsidRPr="008D3B5A">
        <w:rPr>
          <w:szCs w:val="22"/>
        </w:rPr>
        <w:t xml:space="preserve">. These standards stipulate that samples should be individually labelled with the name, and/or other unique identification marker of the individual (C3.1.4.1). It is therefore reasonable that </w:t>
      </w:r>
      <w:r w:rsidR="005E7041">
        <w:rPr>
          <w:szCs w:val="22"/>
        </w:rPr>
        <w:t xml:space="preserve">some </w:t>
      </w:r>
      <w:r w:rsidRPr="008D3B5A">
        <w:rPr>
          <w:szCs w:val="22"/>
        </w:rPr>
        <w:t>SNBTS H&amp;I samples are subject to these same acceptance criteria</w:t>
      </w:r>
      <w:r w:rsidR="001E09AB" w:rsidRPr="008D3B5A">
        <w:rPr>
          <w:szCs w:val="22"/>
        </w:rPr>
        <w:t xml:space="preserve"> rather than the more stringent criteria applied to samples submitted for pre-transfusion testing.</w:t>
      </w:r>
    </w:p>
    <w:p w:rsidR="003D66E3" w:rsidRPr="008D3B5A" w:rsidRDefault="003D66E3" w:rsidP="003D66E3">
      <w:pPr>
        <w:pStyle w:val="ListParagraph"/>
        <w:rPr>
          <w:sz w:val="22"/>
          <w:szCs w:val="22"/>
        </w:rPr>
      </w:pPr>
    </w:p>
    <w:p w:rsidR="0068653D" w:rsidRPr="008D3B5A" w:rsidRDefault="0068653D" w:rsidP="00F714BF">
      <w:pPr>
        <w:numPr>
          <w:ilvl w:val="1"/>
          <w:numId w:val="27"/>
        </w:numPr>
        <w:jc w:val="both"/>
        <w:rPr>
          <w:szCs w:val="22"/>
        </w:rPr>
      </w:pPr>
      <w:r w:rsidRPr="008D3B5A">
        <w:rPr>
          <w:szCs w:val="22"/>
        </w:rPr>
        <w:t xml:space="preserve">Samples </w:t>
      </w:r>
      <w:r w:rsidR="001E67F4" w:rsidRPr="008D3B5A">
        <w:rPr>
          <w:szCs w:val="22"/>
        </w:rPr>
        <w:t>are also</w:t>
      </w:r>
      <w:r w:rsidRPr="008D3B5A">
        <w:rPr>
          <w:szCs w:val="22"/>
        </w:rPr>
        <w:t xml:space="preserve"> processed within </w:t>
      </w:r>
      <w:r w:rsidR="001E67F4" w:rsidRPr="008D3B5A">
        <w:rPr>
          <w:szCs w:val="22"/>
        </w:rPr>
        <w:t>SNBTS patient services</w:t>
      </w:r>
      <w:r w:rsidR="003D66E3" w:rsidRPr="008D3B5A">
        <w:rPr>
          <w:szCs w:val="22"/>
        </w:rPr>
        <w:t xml:space="preserve"> transfusion</w:t>
      </w:r>
      <w:r w:rsidRPr="008D3B5A">
        <w:rPr>
          <w:szCs w:val="22"/>
        </w:rPr>
        <w:t xml:space="preserve"> laboratories which are </w:t>
      </w:r>
      <w:r w:rsidRPr="008D3B5A">
        <w:rPr>
          <w:b/>
          <w:szCs w:val="22"/>
        </w:rPr>
        <w:t>not</w:t>
      </w:r>
      <w:r w:rsidRPr="008D3B5A">
        <w:rPr>
          <w:szCs w:val="22"/>
        </w:rPr>
        <w:t xml:space="preserve"> </w:t>
      </w:r>
      <w:r w:rsidR="001E67F4" w:rsidRPr="008D3B5A">
        <w:rPr>
          <w:szCs w:val="22"/>
        </w:rPr>
        <w:t xml:space="preserve">for </w:t>
      </w:r>
      <w:r w:rsidRPr="008D3B5A">
        <w:rPr>
          <w:szCs w:val="22"/>
        </w:rPr>
        <w:t>pre-transfusion test</w:t>
      </w:r>
      <w:r w:rsidR="001E67F4" w:rsidRPr="008D3B5A">
        <w:rPr>
          <w:szCs w:val="22"/>
        </w:rPr>
        <w:t>ing</w:t>
      </w:r>
      <w:r w:rsidRPr="008D3B5A">
        <w:rPr>
          <w:szCs w:val="22"/>
        </w:rPr>
        <w:t xml:space="preserve">. These include assessment of fetomaternal haemorrhage </w:t>
      </w:r>
      <w:r w:rsidR="00A7068A">
        <w:rPr>
          <w:szCs w:val="22"/>
        </w:rPr>
        <w:t xml:space="preserve">(FMH) </w:t>
      </w:r>
      <w:r w:rsidRPr="008D3B5A">
        <w:rPr>
          <w:szCs w:val="22"/>
        </w:rPr>
        <w:t>by</w:t>
      </w:r>
      <w:r w:rsidR="00A7068A">
        <w:rPr>
          <w:szCs w:val="22"/>
        </w:rPr>
        <w:t xml:space="preserve"> acid elution (Kleihauer) and </w:t>
      </w:r>
      <w:r w:rsidRPr="008D3B5A">
        <w:rPr>
          <w:szCs w:val="22"/>
        </w:rPr>
        <w:t>flow cytometry, quantification of maternal anti-D and anti-c antibodies detected in pregnancy</w:t>
      </w:r>
      <w:r w:rsidR="00A7068A">
        <w:rPr>
          <w:szCs w:val="22"/>
        </w:rPr>
        <w:t xml:space="preserve"> and DAT tests for AIHA and transfusion reactions</w:t>
      </w:r>
      <w:r w:rsidR="008B1098">
        <w:rPr>
          <w:szCs w:val="22"/>
        </w:rPr>
        <w:t>.</w:t>
      </w:r>
      <w:r w:rsidRPr="008D3B5A">
        <w:rPr>
          <w:szCs w:val="22"/>
        </w:rPr>
        <w:t xml:space="preserve"> While misidentification of such samples is clearly not desirable, it does not carry the same potentially fatal sequelae of a misidentified pre-transfusion sample. It is therefore reasonable that these samples be subject to different sample acceptance criteria.</w:t>
      </w:r>
    </w:p>
    <w:p w:rsidR="00FC3B41" w:rsidRDefault="00FC3B41" w:rsidP="00C14343">
      <w:pPr>
        <w:jc w:val="both"/>
        <w:rPr>
          <w:b/>
          <w:sz w:val="24"/>
          <w:szCs w:val="24"/>
        </w:rPr>
      </w:pPr>
    </w:p>
    <w:p w:rsidR="00C14343" w:rsidRPr="00C14343" w:rsidRDefault="00C14343" w:rsidP="00C14343">
      <w:pPr>
        <w:jc w:val="both"/>
        <w:rPr>
          <w:b/>
          <w:sz w:val="24"/>
          <w:szCs w:val="24"/>
        </w:rPr>
      </w:pPr>
      <w:r w:rsidRPr="00C14343">
        <w:rPr>
          <w:b/>
          <w:sz w:val="24"/>
          <w:szCs w:val="24"/>
        </w:rPr>
        <w:t>Statement Of Policy</w:t>
      </w:r>
    </w:p>
    <w:p w:rsidR="00C14343" w:rsidRPr="00C14343" w:rsidRDefault="00C14343" w:rsidP="00C14343">
      <w:pPr>
        <w:jc w:val="both"/>
        <w:rPr>
          <w:b/>
          <w:sz w:val="24"/>
          <w:szCs w:val="24"/>
        </w:rPr>
      </w:pPr>
    </w:p>
    <w:p w:rsidR="00090727" w:rsidRDefault="00F8528B" w:rsidP="003D66E3">
      <w:pPr>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rPr>
          <w:b/>
          <w:sz w:val="24"/>
        </w:rPr>
      </w:pPr>
      <w:r w:rsidRPr="00F8528B">
        <w:rPr>
          <w:b/>
          <w:sz w:val="24"/>
        </w:rPr>
        <w:t>Pre Transfusion Samples</w:t>
      </w:r>
      <w:r>
        <w:rPr>
          <w:b/>
          <w:sz w:val="24"/>
        </w:rPr>
        <w:t>- Zero tolerance approach</w:t>
      </w:r>
    </w:p>
    <w:p w:rsidR="00F8528B" w:rsidRDefault="00F8528B" w:rsidP="00F8528B">
      <w:pPr>
        <w:rPr>
          <w:b/>
          <w:sz w:val="24"/>
        </w:rPr>
      </w:pPr>
    </w:p>
    <w:p w:rsidR="00E82691" w:rsidRPr="00E82691" w:rsidRDefault="00041999" w:rsidP="00041999">
      <w:pPr>
        <w:autoSpaceDE w:val="0"/>
        <w:autoSpaceDN w:val="0"/>
        <w:adjustRightInd w:val="0"/>
        <w:jc w:val="both"/>
        <w:rPr>
          <w:rFonts w:cs="Arial"/>
          <w:b/>
          <w:i/>
          <w:szCs w:val="22"/>
        </w:rPr>
      </w:pPr>
      <w:r>
        <w:rPr>
          <w:rFonts w:cs="Arial"/>
          <w:b/>
          <w:szCs w:val="22"/>
        </w:rPr>
        <w:t>Pre-</w:t>
      </w:r>
      <w:r w:rsidR="00E87989">
        <w:rPr>
          <w:rFonts w:cs="Arial"/>
          <w:b/>
          <w:szCs w:val="22"/>
        </w:rPr>
        <w:t>transfusion</w:t>
      </w:r>
      <w:r>
        <w:rPr>
          <w:rFonts w:cs="Arial"/>
          <w:b/>
          <w:szCs w:val="22"/>
        </w:rPr>
        <w:t xml:space="preserve"> samples which do not meet the following criteria will be rejected and a new sample will be required.</w:t>
      </w:r>
    </w:p>
    <w:p w:rsidR="00E82691" w:rsidRDefault="00E82691" w:rsidP="00E82691"/>
    <w:p w:rsidR="00284167" w:rsidRPr="0086548A" w:rsidRDefault="003D66E3" w:rsidP="00284167">
      <w:pPr>
        <w:ind w:left="720" w:hanging="720"/>
      </w:pPr>
      <w:r>
        <w:t>2.</w:t>
      </w:r>
      <w:r w:rsidR="00041999">
        <w:t>1</w:t>
      </w:r>
      <w:r w:rsidR="00E82691">
        <w:tab/>
      </w:r>
      <w:r w:rsidR="00284167" w:rsidRPr="0086548A">
        <w:t>Pre-transfusion sample</w:t>
      </w:r>
      <w:r w:rsidR="00041999" w:rsidRPr="0086548A">
        <w:t xml:space="preserve"> tubes</w:t>
      </w:r>
      <w:r w:rsidR="00E87989" w:rsidRPr="0086548A">
        <w:t xml:space="preserve"> and request forms</w:t>
      </w:r>
      <w:r w:rsidR="00284167" w:rsidRPr="0086548A">
        <w:t xml:space="preserve"> must be labelled with the following </w:t>
      </w:r>
      <w:r w:rsidR="00284167" w:rsidRPr="0086548A">
        <w:rPr>
          <w:b/>
        </w:rPr>
        <w:t>four</w:t>
      </w:r>
      <w:r w:rsidR="00284167" w:rsidRPr="0086548A">
        <w:t xml:space="preserve"> points of patient identifying data</w:t>
      </w:r>
      <w:r w:rsidR="000226E0">
        <w:t xml:space="preserve"> (core identifiers)</w:t>
      </w:r>
      <w:r w:rsidR="00284167" w:rsidRPr="0086548A">
        <w:t xml:space="preserve"> as </w:t>
      </w:r>
      <w:r w:rsidR="00EB1530" w:rsidRPr="0086548A">
        <w:t>detailed</w:t>
      </w:r>
      <w:r w:rsidR="00284167" w:rsidRPr="0086548A">
        <w:t xml:space="preserve"> in </w:t>
      </w:r>
      <w:r w:rsidR="00EB1530" w:rsidRPr="0086548A">
        <w:t xml:space="preserve">the </w:t>
      </w:r>
      <w:r w:rsidR="00284167" w:rsidRPr="0086548A">
        <w:t>BSH guidelines:</w:t>
      </w:r>
    </w:p>
    <w:p w:rsidR="00284167" w:rsidRPr="0086548A" w:rsidRDefault="00284167" w:rsidP="00284167"/>
    <w:p w:rsidR="00284167" w:rsidRPr="0086548A" w:rsidRDefault="00284167" w:rsidP="00284167">
      <w:pPr>
        <w:numPr>
          <w:ilvl w:val="0"/>
          <w:numId w:val="13"/>
        </w:numPr>
      </w:pPr>
      <w:r w:rsidRPr="0086548A">
        <w:t>Last Name (</w:t>
      </w:r>
      <w:r w:rsidR="00EB1530" w:rsidRPr="0086548A">
        <w:t>spelt correctly</w:t>
      </w:r>
      <w:r w:rsidRPr="0086548A">
        <w:t>)*</w:t>
      </w:r>
    </w:p>
    <w:p w:rsidR="00284167" w:rsidRPr="0086548A" w:rsidRDefault="00284167" w:rsidP="00284167">
      <w:pPr>
        <w:numPr>
          <w:ilvl w:val="0"/>
          <w:numId w:val="13"/>
        </w:numPr>
      </w:pPr>
      <w:r w:rsidRPr="0086548A">
        <w:t>First Name (</w:t>
      </w:r>
      <w:r w:rsidR="00EB1530" w:rsidRPr="0086548A">
        <w:t xml:space="preserve">spelt </w:t>
      </w:r>
      <w:r w:rsidR="00AA0BBE" w:rsidRPr="0086548A">
        <w:t>correctly) *</w:t>
      </w:r>
    </w:p>
    <w:p w:rsidR="00284167" w:rsidRPr="0086548A" w:rsidRDefault="00284167" w:rsidP="00284167">
      <w:pPr>
        <w:numPr>
          <w:ilvl w:val="0"/>
          <w:numId w:val="13"/>
        </w:numPr>
      </w:pPr>
      <w:r w:rsidRPr="0086548A">
        <w:t>Date of Birth</w:t>
      </w:r>
    </w:p>
    <w:p w:rsidR="00284167" w:rsidRPr="0086548A" w:rsidRDefault="00284167" w:rsidP="00284167">
      <w:pPr>
        <w:numPr>
          <w:ilvl w:val="0"/>
          <w:numId w:val="13"/>
        </w:numPr>
      </w:pPr>
      <w:r w:rsidRPr="0086548A">
        <w:t>Unique Identification Number (CHI or Hospital Number where no CHI number is available)</w:t>
      </w:r>
    </w:p>
    <w:p w:rsidR="00284167" w:rsidRPr="0086548A" w:rsidRDefault="00284167" w:rsidP="00284167"/>
    <w:p w:rsidR="003D66E3" w:rsidRDefault="00284167" w:rsidP="003D66E3">
      <w:pPr>
        <w:ind w:left="720"/>
      </w:pPr>
      <w:r w:rsidRPr="0086548A">
        <w:t>*For patients who change forename, surname or bot</w:t>
      </w:r>
      <w:r w:rsidR="00EB1530" w:rsidRPr="0086548A">
        <w:t xml:space="preserve">h please refer to national SOP </w:t>
      </w:r>
      <w:r w:rsidRPr="0086548A">
        <w:t>NATS CLS 041.</w:t>
      </w:r>
    </w:p>
    <w:p w:rsidR="0086548A" w:rsidRPr="00E82691" w:rsidRDefault="0086548A" w:rsidP="0086548A">
      <w:pPr>
        <w:autoSpaceDE w:val="0"/>
        <w:autoSpaceDN w:val="0"/>
        <w:adjustRightInd w:val="0"/>
        <w:jc w:val="both"/>
        <w:rPr>
          <w:rFonts w:cs="Arial"/>
          <w:szCs w:val="22"/>
        </w:rPr>
      </w:pPr>
    </w:p>
    <w:p w:rsidR="00A45BB2" w:rsidRDefault="003D66E3" w:rsidP="002711D5">
      <w:pPr>
        <w:autoSpaceDE w:val="0"/>
        <w:autoSpaceDN w:val="0"/>
        <w:adjustRightInd w:val="0"/>
        <w:ind w:left="720" w:hanging="720"/>
        <w:jc w:val="both"/>
        <w:rPr>
          <w:rFonts w:cs="Arial"/>
          <w:szCs w:val="24"/>
        </w:rPr>
      </w:pPr>
      <w:r>
        <w:rPr>
          <w:rFonts w:cs="Arial"/>
          <w:szCs w:val="24"/>
        </w:rPr>
        <w:t>2.</w:t>
      </w:r>
      <w:r w:rsidR="008920FB">
        <w:rPr>
          <w:rFonts w:cs="Arial"/>
          <w:szCs w:val="24"/>
        </w:rPr>
        <w:t>2</w:t>
      </w:r>
      <w:r>
        <w:rPr>
          <w:rFonts w:cs="Arial"/>
          <w:szCs w:val="24"/>
        </w:rPr>
        <w:tab/>
      </w:r>
      <w:r w:rsidR="00A45BB2" w:rsidRPr="00B23DE3">
        <w:rPr>
          <w:rFonts w:cs="Arial"/>
          <w:szCs w:val="24"/>
          <w:u w:val="single"/>
        </w:rPr>
        <w:t>Unknown patients</w:t>
      </w:r>
    </w:p>
    <w:p w:rsidR="00A45BB2" w:rsidRDefault="00A45BB2" w:rsidP="002711D5">
      <w:pPr>
        <w:autoSpaceDE w:val="0"/>
        <w:autoSpaceDN w:val="0"/>
        <w:adjustRightInd w:val="0"/>
        <w:ind w:left="720" w:hanging="720"/>
        <w:jc w:val="both"/>
        <w:rPr>
          <w:rFonts w:cs="Arial"/>
          <w:szCs w:val="24"/>
        </w:rPr>
      </w:pPr>
    </w:p>
    <w:p w:rsidR="00907B3D" w:rsidRDefault="00A45BB2">
      <w:pPr>
        <w:autoSpaceDE w:val="0"/>
        <w:autoSpaceDN w:val="0"/>
        <w:adjustRightInd w:val="0"/>
        <w:ind w:left="720" w:hanging="720"/>
        <w:jc w:val="both"/>
        <w:rPr>
          <w:rFonts w:cs="Arial"/>
          <w:szCs w:val="24"/>
        </w:rPr>
      </w:pPr>
      <w:r>
        <w:rPr>
          <w:rFonts w:cs="Arial"/>
          <w:szCs w:val="24"/>
        </w:rPr>
        <w:t>2.</w:t>
      </w:r>
      <w:r w:rsidR="008920FB">
        <w:rPr>
          <w:rFonts w:cs="Arial"/>
          <w:szCs w:val="24"/>
        </w:rPr>
        <w:t>2</w:t>
      </w:r>
      <w:r>
        <w:rPr>
          <w:rFonts w:cs="Arial"/>
          <w:szCs w:val="24"/>
        </w:rPr>
        <w:t>.1</w:t>
      </w:r>
      <w:r>
        <w:rPr>
          <w:rFonts w:cs="Arial"/>
          <w:szCs w:val="24"/>
        </w:rPr>
        <w:tab/>
      </w:r>
      <w:r w:rsidR="00907B3D">
        <w:rPr>
          <w:rFonts w:cs="Arial"/>
          <w:szCs w:val="24"/>
        </w:rPr>
        <w:t>Where patients are unidentified at the time of sampling, it is best practice to use an additional non-sequential numerical identifier (eg Typenex)</w:t>
      </w:r>
    </w:p>
    <w:p w:rsidR="007B7D1D" w:rsidRDefault="007B7D1D">
      <w:pPr>
        <w:autoSpaceDE w:val="0"/>
        <w:autoSpaceDN w:val="0"/>
        <w:adjustRightInd w:val="0"/>
        <w:ind w:left="720" w:hanging="720"/>
        <w:jc w:val="both"/>
        <w:rPr>
          <w:rFonts w:cs="Arial"/>
          <w:szCs w:val="24"/>
        </w:rPr>
      </w:pPr>
    </w:p>
    <w:p w:rsidR="002E7F4A" w:rsidRDefault="007B7D1D" w:rsidP="008B1098">
      <w:pPr>
        <w:autoSpaceDE w:val="0"/>
        <w:autoSpaceDN w:val="0"/>
        <w:adjustRightInd w:val="0"/>
        <w:ind w:left="720" w:hanging="720"/>
        <w:jc w:val="both"/>
        <w:rPr>
          <w:rFonts w:cs="Arial"/>
          <w:szCs w:val="24"/>
        </w:rPr>
      </w:pPr>
      <w:r>
        <w:rPr>
          <w:rFonts w:cs="Arial"/>
          <w:szCs w:val="24"/>
        </w:rPr>
        <w:t>2.</w:t>
      </w:r>
      <w:r w:rsidR="008920FB">
        <w:rPr>
          <w:rFonts w:cs="Arial"/>
          <w:szCs w:val="24"/>
        </w:rPr>
        <w:t>2</w:t>
      </w:r>
      <w:r>
        <w:rPr>
          <w:rFonts w:cs="Arial"/>
          <w:szCs w:val="24"/>
        </w:rPr>
        <w:t>.2</w:t>
      </w:r>
      <w:r>
        <w:rPr>
          <w:rFonts w:cs="Arial"/>
          <w:szCs w:val="24"/>
        </w:rPr>
        <w:tab/>
      </w:r>
      <w:r w:rsidR="002E7F4A">
        <w:rPr>
          <w:rFonts w:cs="Arial"/>
          <w:szCs w:val="24"/>
        </w:rPr>
        <w:t>T</w:t>
      </w:r>
      <w:r w:rsidR="002E7F4A" w:rsidRPr="00E82691">
        <w:rPr>
          <w:rFonts w:cs="Arial"/>
          <w:szCs w:val="24"/>
        </w:rPr>
        <w:t xml:space="preserve">he minimum acceptance criteria for pre-transfusion samples </w:t>
      </w:r>
      <w:r w:rsidR="00C12CD2">
        <w:rPr>
          <w:rFonts w:cs="Arial"/>
          <w:szCs w:val="24"/>
        </w:rPr>
        <w:t xml:space="preserve">from unidentified patients </w:t>
      </w:r>
      <w:r w:rsidR="002E7F4A" w:rsidRPr="00E82691">
        <w:rPr>
          <w:rFonts w:cs="Arial"/>
          <w:szCs w:val="24"/>
        </w:rPr>
        <w:t>are:</w:t>
      </w:r>
    </w:p>
    <w:p w:rsidR="002711D5" w:rsidRPr="00E82691" w:rsidRDefault="002711D5" w:rsidP="002711D5">
      <w:pPr>
        <w:autoSpaceDE w:val="0"/>
        <w:autoSpaceDN w:val="0"/>
        <w:adjustRightInd w:val="0"/>
        <w:ind w:left="720" w:hanging="720"/>
        <w:jc w:val="both"/>
        <w:rPr>
          <w:rFonts w:cs="Arial"/>
          <w:szCs w:val="24"/>
        </w:rPr>
      </w:pPr>
    </w:p>
    <w:p w:rsidR="002E7F4A" w:rsidRPr="00E82691" w:rsidRDefault="00531F59" w:rsidP="002E7F4A">
      <w:pPr>
        <w:numPr>
          <w:ilvl w:val="0"/>
          <w:numId w:val="17"/>
        </w:numPr>
        <w:autoSpaceDE w:val="0"/>
        <w:autoSpaceDN w:val="0"/>
        <w:adjustRightInd w:val="0"/>
        <w:jc w:val="both"/>
        <w:rPr>
          <w:rFonts w:cs="Arial"/>
          <w:szCs w:val="24"/>
        </w:rPr>
      </w:pPr>
      <w:r>
        <w:rPr>
          <w:rFonts w:cs="Arial"/>
          <w:szCs w:val="24"/>
        </w:rPr>
        <w:t xml:space="preserve">Typenex number/ </w:t>
      </w:r>
      <w:r w:rsidR="002E7F4A" w:rsidRPr="00E82691">
        <w:rPr>
          <w:rFonts w:cs="Arial"/>
          <w:szCs w:val="24"/>
        </w:rPr>
        <w:t>A&amp;E Number/</w:t>
      </w:r>
      <w:r>
        <w:rPr>
          <w:rFonts w:cs="Arial"/>
          <w:szCs w:val="24"/>
        </w:rPr>
        <w:t xml:space="preserve"> </w:t>
      </w:r>
      <w:r w:rsidR="002E7F4A" w:rsidRPr="00E82691">
        <w:rPr>
          <w:rFonts w:cs="Arial"/>
          <w:szCs w:val="24"/>
        </w:rPr>
        <w:t>Org</w:t>
      </w:r>
      <w:r w:rsidR="00817E2B">
        <w:rPr>
          <w:rFonts w:cs="Arial"/>
          <w:szCs w:val="24"/>
        </w:rPr>
        <w:t>an Donor Transplantation Number/ other unique identifier</w:t>
      </w:r>
    </w:p>
    <w:p w:rsidR="002E7F4A" w:rsidRDefault="002E7F4A" w:rsidP="00284167">
      <w:pPr>
        <w:numPr>
          <w:ilvl w:val="0"/>
          <w:numId w:val="17"/>
        </w:numPr>
        <w:autoSpaceDE w:val="0"/>
        <w:autoSpaceDN w:val="0"/>
        <w:adjustRightInd w:val="0"/>
        <w:jc w:val="both"/>
        <w:rPr>
          <w:rFonts w:cs="Arial"/>
          <w:szCs w:val="24"/>
        </w:rPr>
      </w:pPr>
      <w:r w:rsidRPr="00E82691">
        <w:rPr>
          <w:rFonts w:cs="Arial"/>
          <w:szCs w:val="24"/>
        </w:rPr>
        <w:t>Gender</w:t>
      </w:r>
    </w:p>
    <w:p w:rsidR="00836CF1" w:rsidRDefault="00836CF1" w:rsidP="00B23DE3">
      <w:pPr>
        <w:autoSpaceDE w:val="0"/>
        <w:autoSpaceDN w:val="0"/>
        <w:adjustRightInd w:val="0"/>
        <w:jc w:val="both"/>
        <w:rPr>
          <w:rFonts w:cs="Arial"/>
          <w:szCs w:val="24"/>
        </w:rPr>
      </w:pPr>
    </w:p>
    <w:p w:rsidR="004A7495" w:rsidRDefault="004A7495" w:rsidP="00B23DE3">
      <w:pPr>
        <w:autoSpaceDE w:val="0"/>
        <w:autoSpaceDN w:val="0"/>
        <w:adjustRightInd w:val="0"/>
        <w:jc w:val="both"/>
        <w:rPr>
          <w:rFonts w:cs="Arial"/>
          <w:szCs w:val="24"/>
        </w:rPr>
      </w:pPr>
    </w:p>
    <w:p w:rsidR="00836CF1" w:rsidRDefault="00836CF1" w:rsidP="00B23DE3">
      <w:pPr>
        <w:autoSpaceDE w:val="0"/>
        <w:autoSpaceDN w:val="0"/>
        <w:adjustRightInd w:val="0"/>
        <w:jc w:val="both"/>
        <w:rPr>
          <w:rFonts w:cs="Arial"/>
          <w:szCs w:val="24"/>
        </w:rPr>
      </w:pPr>
      <w:r>
        <w:rPr>
          <w:rFonts w:cs="Arial"/>
          <w:szCs w:val="24"/>
        </w:rPr>
        <w:t>2.</w:t>
      </w:r>
      <w:r w:rsidR="001B39E7">
        <w:rPr>
          <w:rFonts w:cs="Arial"/>
          <w:szCs w:val="24"/>
        </w:rPr>
        <w:t>3</w:t>
      </w:r>
      <w:r>
        <w:rPr>
          <w:rFonts w:cs="Arial"/>
          <w:szCs w:val="24"/>
        </w:rPr>
        <w:tab/>
      </w:r>
      <w:r w:rsidRPr="00B23DE3">
        <w:rPr>
          <w:rFonts w:cs="Arial"/>
          <w:szCs w:val="24"/>
          <w:u w:val="single"/>
        </w:rPr>
        <w:t>Electronic requests</w:t>
      </w:r>
    </w:p>
    <w:p w:rsidR="00836CF1" w:rsidRDefault="00836CF1" w:rsidP="00B23DE3">
      <w:pPr>
        <w:autoSpaceDE w:val="0"/>
        <w:autoSpaceDN w:val="0"/>
        <w:adjustRightInd w:val="0"/>
        <w:jc w:val="both"/>
        <w:rPr>
          <w:rFonts w:cs="Arial"/>
          <w:szCs w:val="24"/>
        </w:rPr>
      </w:pPr>
    </w:p>
    <w:p w:rsidR="00836CF1" w:rsidRPr="00B23DE3" w:rsidRDefault="00836CF1" w:rsidP="00B23DE3">
      <w:pPr>
        <w:autoSpaceDE w:val="0"/>
        <w:autoSpaceDN w:val="0"/>
        <w:adjustRightInd w:val="0"/>
        <w:ind w:left="720" w:hanging="720"/>
        <w:jc w:val="both"/>
      </w:pPr>
      <w:r>
        <w:rPr>
          <w:rFonts w:cs="Arial"/>
          <w:szCs w:val="24"/>
        </w:rPr>
        <w:t>2.</w:t>
      </w:r>
      <w:r w:rsidR="001B39E7">
        <w:rPr>
          <w:rFonts w:cs="Arial"/>
          <w:szCs w:val="24"/>
        </w:rPr>
        <w:t>3</w:t>
      </w:r>
      <w:r>
        <w:rPr>
          <w:rFonts w:cs="Arial"/>
          <w:szCs w:val="24"/>
        </w:rPr>
        <w:t>.1</w:t>
      </w:r>
      <w:r>
        <w:rPr>
          <w:rFonts w:cs="Arial"/>
          <w:szCs w:val="24"/>
        </w:rPr>
        <w:tab/>
      </w:r>
      <w:r w:rsidRPr="0086548A">
        <w:t>Sample tubes must be hand written unless secure bedside electronic labelling systems are in place.</w:t>
      </w:r>
      <w:r w:rsidR="008920FB">
        <w:t xml:space="preserve"> These are not in place in Scottish hospitals at present.</w:t>
      </w:r>
    </w:p>
    <w:p w:rsidR="002E7F4A" w:rsidRPr="00E82691" w:rsidRDefault="002E7F4A" w:rsidP="00284167"/>
    <w:p w:rsidR="00284167" w:rsidRPr="00E82691" w:rsidRDefault="003D66E3" w:rsidP="00284167">
      <w:pPr>
        <w:ind w:left="720" w:hanging="720"/>
      </w:pPr>
      <w:r>
        <w:t>2.</w:t>
      </w:r>
      <w:r w:rsidR="001B39E7">
        <w:t>4</w:t>
      </w:r>
      <w:r w:rsidR="00284167" w:rsidRPr="00E82691">
        <w:tab/>
        <w:t xml:space="preserve">There </w:t>
      </w:r>
      <w:r w:rsidR="00284167" w:rsidRPr="00E82691">
        <w:rPr>
          <w:b/>
        </w:rPr>
        <w:t>must</w:t>
      </w:r>
      <w:r w:rsidR="00284167" w:rsidRPr="00E82691">
        <w:t xml:space="preserve"> be no discrepancy between the patient identifying information on the sample tube and request form.  If names are in </w:t>
      </w:r>
      <w:r w:rsidR="00F36902">
        <w:t xml:space="preserve">a </w:t>
      </w:r>
      <w:r w:rsidR="00284167" w:rsidRPr="00E82691">
        <w:t xml:space="preserve">different order on sample or form, and the CHI number is identical, after contacting the clinical area to confirm the correct order, the sample can be accepted.  </w:t>
      </w:r>
    </w:p>
    <w:p w:rsidR="00284167" w:rsidRPr="00E82691" w:rsidRDefault="00284167" w:rsidP="00284167"/>
    <w:p w:rsidR="00284167" w:rsidRDefault="003D66E3" w:rsidP="00284167">
      <w:pPr>
        <w:ind w:left="720" w:hanging="720"/>
      </w:pPr>
      <w:r>
        <w:t>2.</w:t>
      </w:r>
      <w:r w:rsidR="001B39E7">
        <w:t>5</w:t>
      </w:r>
      <w:r w:rsidR="00284167" w:rsidRPr="00E82691">
        <w:tab/>
      </w:r>
      <w:r w:rsidR="00284167" w:rsidRPr="00B23DE3">
        <w:t xml:space="preserve">It </w:t>
      </w:r>
      <w:r w:rsidR="00284167" w:rsidRPr="00B23DE3">
        <w:rPr>
          <w:b/>
        </w:rPr>
        <w:t>must</w:t>
      </w:r>
      <w:r w:rsidR="00284167" w:rsidRPr="00B23DE3">
        <w:t xml:space="preserve"> be clear to Laboratory staff that there has been no attempt made to replace a </w:t>
      </w:r>
      <w:r w:rsidR="00284167" w:rsidRPr="00842E20">
        <w:rPr>
          <w:i/>
        </w:rPr>
        <w:t>different</w:t>
      </w:r>
      <w:r w:rsidR="00284167" w:rsidRPr="00B23DE3">
        <w:t xml:space="preserve"> patient’s details on the sample tube, therefore any sample tube where any patient core identifier has been obliterated either by correction fluid or by pen will be discarded.</w:t>
      </w:r>
      <w:r w:rsidR="00AB08EE" w:rsidRPr="00AB08EE">
        <w:t xml:space="preserve"> Minor amendments or corrections, </w:t>
      </w:r>
      <w:r w:rsidR="00AB08EE">
        <w:t>where it clea</w:t>
      </w:r>
      <w:r w:rsidR="00842E20">
        <w:t xml:space="preserve">r both refer to </w:t>
      </w:r>
      <w:r w:rsidR="00AB08EE" w:rsidRPr="00AB08EE">
        <w:t>the same patient can be accepted</w:t>
      </w:r>
      <w:r w:rsidR="00AB08EE">
        <w:t>.</w:t>
      </w:r>
    </w:p>
    <w:p w:rsidR="002E7F4A" w:rsidRPr="00E82691" w:rsidRDefault="002E7F4A" w:rsidP="001848BD">
      <w:pPr>
        <w:autoSpaceDE w:val="0"/>
        <w:autoSpaceDN w:val="0"/>
        <w:adjustRightInd w:val="0"/>
        <w:jc w:val="both"/>
        <w:rPr>
          <w:rFonts w:cs="Arial"/>
          <w:szCs w:val="24"/>
        </w:rPr>
      </w:pPr>
    </w:p>
    <w:p w:rsidR="002E7F4A" w:rsidRPr="00E82691" w:rsidRDefault="003D66E3" w:rsidP="002E7F4A">
      <w:pPr>
        <w:ind w:left="709" w:hanging="709"/>
        <w:jc w:val="both"/>
        <w:rPr>
          <w:rFonts w:cs="Arial"/>
          <w:szCs w:val="22"/>
          <w:lang w:eastAsia="en-GB"/>
        </w:rPr>
      </w:pPr>
      <w:r>
        <w:rPr>
          <w:rFonts w:cs="Arial"/>
          <w:szCs w:val="22"/>
        </w:rPr>
        <w:t>2.</w:t>
      </w:r>
      <w:r w:rsidR="001B39E7">
        <w:rPr>
          <w:rFonts w:cs="Arial"/>
          <w:szCs w:val="22"/>
        </w:rPr>
        <w:t>6</w:t>
      </w:r>
      <w:r w:rsidR="002E7F4A" w:rsidRPr="00E82691">
        <w:rPr>
          <w:rFonts w:cs="Arial"/>
          <w:szCs w:val="22"/>
        </w:rPr>
        <w:tab/>
      </w:r>
      <w:r w:rsidR="002E7F4A">
        <w:rPr>
          <w:rFonts w:cs="Arial"/>
          <w:szCs w:val="22"/>
        </w:rPr>
        <w:tab/>
      </w:r>
      <w:r w:rsidR="002E7F4A" w:rsidRPr="00E82691">
        <w:rPr>
          <w:rFonts w:cs="Arial"/>
          <w:szCs w:val="22"/>
          <w:lang w:eastAsia="en-GB"/>
        </w:rPr>
        <w:t>Pre transfusion samples and/or request forms for pre-transfusion testing are also expected to have:</w:t>
      </w:r>
    </w:p>
    <w:p w:rsidR="002E7F4A" w:rsidRPr="00E82691" w:rsidRDefault="002E7F4A" w:rsidP="002E7F4A">
      <w:pPr>
        <w:ind w:left="709" w:hanging="709"/>
        <w:jc w:val="both"/>
        <w:rPr>
          <w:rFonts w:cs="Arial"/>
          <w:szCs w:val="22"/>
          <w:lang w:eastAsia="en-GB"/>
        </w:rPr>
      </w:pPr>
    </w:p>
    <w:p w:rsidR="002E7F4A" w:rsidRPr="00E82691" w:rsidRDefault="002E7F4A" w:rsidP="002E7F4A">
      <w:pPr>
        <w:pStyle w:val="ListParagraph"/>
        <w:numPr>
          <w:ilvl w:val="0"/>
          <w:numId w:val="16"/>
        </w:numPr>
        <w:spacing w:line="276" w:lineRule="auto"/>
        <w:jc w:val="both"/>
        <w:rPr>
          <w:rFonts w:cs="Arial"/>
          <w:sz w:val="22"/>
          <w:szCs w:val="22"/>
          <w:lang w:eastAsia="en-GB"/>
        </w:rPr>
      </w:pPr>
      <w:r>
        <w:rPr>
          <w:rFonts w:cs="Arial"/>
          <w:sz w:val="22"/>
          <w:szCs w:val="22"/>
          <w:lang w:eastAsia="en-GB"/>
        </w:rPr>
        <w:t>t</w:t>
      </w:r>
      <w:r w:rsidRPr="00E82691">
        <w:rPr>
          <w:rFonts w:cs="Arial"/>
          <w:sz w:val="22"/>
          <w:szCs w:val="22"/>
          <w:lang w:eastAsia="en-GB"/>
        </w:rPr>
        <w:t>he gender of the patient</w:t>
      </w:r>
    </w:p>
    <w:p w:rsidR="002E7F4A" w:rsidRPr="00E82691" w:rsidRDefault="002E7F4A" w:rsidP="002E7F4A">
      <w:pPr>
        <w:pStyle w:val="ListParagraph"/>
        <w:numPr>
          <w:ilvl w:val="0"/>
          <w:numId w:val="16"/>
        </w:numPr>
        <w:spacing w:line="276" w:lineRule="auto"/>
        <w:jc w:val="both"/>
        <w:rPr>
          <w:rFonts w:cs="Arial"/>
          <w:sz w:val="22"/>
          <w:szCs w:val="22"/>
          <w:lang w:eastAsia="en-GB"/>
        </w:rPr>
      </w:pPr>
      <w:r>
        <w:rPr>
          <w:rFonts w:cs="Arial"/>
          <w:sz w:val="22"/>
          <w:szCs w:val="22"/>
          <w:lang w:eastAsia="en-GB"/>
        </w:rPr>
        <w:t>t</w:t>
      </w:r>
      <w:r w:rsidRPr="00E82691">
        <w:rPr>
          <w:rFonts w:cs="Arial"/>
          <w:sz w:val="22"/>
          <w:szCs w:val="22"/>
          <w:lang w:eastAsia="en-GB"/>
        </w:rPr>
        <w:t xml:space="preserve">he date and time on which the sample was taken </w:t>
      </w:r>
    </w:p>
    <w:p w:rsidR="002E7F4A" w:rsidRPr="00E82691" w:rsidRDefault="002E7F4A" w:rsidP="002E7F4A">
      <w:pPr>
        <w:pStyle w:val="ListParagraph"/>
        <w:numPr>
          <w:ilvl w:val="0"/>
          <w:numId w:val="16"/>
        </w:numPr>
        <w:spacing w:line="276" w:lineRule="auto"/>
        <w:jc w:val="both"/>
        <w:rPr>
          <w:rFonts w:cs="Arial"/>
          <w:sz w:val="22"/>
          <w:szCs w:val="22"/>
          <w:lang w:eastAsia="en-GB"/>
        </w:rPr>
      </w:pPr>
      <w:r>
        <w:rPr>
          <w:rFonts w:cs="Arial"/>
          <w:sz w:val="22"/>
          <w:szCs w:val="22"/>
          <w:lang w:eastAsia="en-GB"/>
        </w:rPr>
        <w:t>t</w:t>
      </w:r>
      <w:r w:rsidRPr="00E82691">
        <w:rPr>
          <w:rFonts w:cs="Arial"/>
          <w:sz w:val="22"/>
          <w:szCs w:val="22"/>
          <w:lang w:eastAsia="en-GB"/>
        </w:rPr>
        <w:t xml:space="preserve">he signature or initials of the person taking the sample </w:t>
      </w:r>
    </w:p>
    <w:p w:rsidR="002E7F4A" w:rsidRPr="00E82691" w:rsidRDefault="002E7F4A" w:rsidP="002E7F4A">
      <w:pPr>
        <w:pStyle w:val="ListParagraph"/>
        <w:spacing w:line="276" w:lineRule="auto"/>
        <w:ind w:left="1069"/>
        <w:jc w:val="both"/>
        <w:rPr>
          <w:rFonts w:cs="Arial"/>
          <w:sz w:val="22"/>
          <w:szCs w:val="22"/>
          <w:lang w:eastAsia="en-GB"/>
        </w:rPr>
      </w:pPr>
    </w:p>
    <w:p w:rsidR="00C12CD2" w:rsidRDefault="002E7F4A" w:rsidP="002E7F4A">
      <w:pPr>
        <w:ind w:left="709" w:hanging="709"/>
        <w:jc w:val="both"/>
        <w:rPr>
          <w:rFonts w:cs="Arial"/>
          <w:szCs w:val="22"/>
          <w:lang w:eastAsia="en-GB"/>
        </w:rPr>
      </w:pPr>
      <w:r w:rsidRPr="00E82691">
        <w:rPr>
          <w:rFonts w:cs="Arial"/>
          <w:szCs w:val="22"/>
          <w:lang w:eastAsia="en-GB"/>
        </w:rPr>
        <w:tab/>
        <w:t xml:space="preserve">Where this information is not given, a sample may be tested, after contacting the ward to clarify the patient’s gender and the date and time the sample was taken. </w:t>
      </w:r>
    </w:p>
    <w:p w:rsidR="00C12CD2" w:rsidRDefault="00C12CD2" w:rsidP="002E7F4A">
      <w:pPr>
        <w:ind w:left="709" w:hanging="709"/>
        <w:jc w:val="both"/>
        <w:rPr>
          <w:rFonts w:cs="Arial"/>
          <w:szCs w:val="22"/>
          <w:lang w:eastAsia="en-GB"/>
        </w:rPr>
      </w:pPr>
    </w:p>
    <w:p w:rsidR="002E7F4A" w:rsidRPr="00E82691" w:rsidRDefault="002E7F4A" w:rsidP="00C12CD2">
      <w:pPr>
        <w:ind w:left="709"/>
        <w:jc w:val="both"/>
        <w:rPr>
          <w:rFonts w:cs="Arial"/>
          <w:szCs w:val="22"/>
          <w:lang w:eastAsia="en-GB"/>
        </w:rPr>
      </w:pPr>
      <w:r w:rsidRPr="00E82691">
        <w:rPr>
          <w:rFonts w:cs="Arial"/>
          <w:szCs w:val="22"/>
          <w:lang w:eastAsia="en-GB"/>
        </w:rPr>
        <w:t xml:space="preserve">Unsigned samples may be tested so long as the requesting doctor and phlebotomist have signed the request form. </w:t>
      </w:r>
    </w:p>
    <w:p w:rsidR="002E7F4A" w:rsidRDefault="002E7F4A" w:rsidP="00C12CD2">
      <w:pPr>
        <w:autoSpaceDE w:val="0"/>
        <w:autoSpaceDN w:val="0"/>
        <w:adjustRightInd w:val="0"/>
        <w:jc w:val="both"/>
        <w:rPr>
          <w:sz w:val="24"/>
          <w:szCs w:val="24"/>
        </w:rPr>
      </w:pPr>
    </w:p>
    <w:p w:rsidR="002E7F4A" w:rsidRPr="0034624D" w:rsidRDefault="003D66E3" w:rsidP="002E7F4A">
      <w:pPr>
        <w:rPr>
          <w:sz w:val="24"/>
          <w:szCs w:val="24"/>
        </w:rPr>
      </w:pPr>
      <w:r>
        <w:rPr>
          <w:szCs w:val="24"/>
        </w:rPr>
        <w:t>2.</w:t>
      </w:r>
      <w:r w:rsidR="001B39E7">
        <w:rPr>
          <w:szCs w:val="24"/>
        </w:rPr>
        <w:t>7</w:t>
      </w:r>
      <w:r w:rsidR="002E7F4A" w:rsidRPr="0034624D">
        <w:rPr>
          <w:rFonts w:cs="Arial"/>
          <w:sz w:val="20"/>
          <w:szCs w:val="24"/>
        </w:rPr>
        <w:tab/>
      </w:r>
      <w:r w:rsidR="002E7F4A" w:rsidRPr="0034624D">
        <w:rPr>
          <w:rFonts w:cs="Arial"/>
          <w:szCs w:val="24"/>
        </w:rPr>
        <w:t xml:space="preserve">Pre-transfusion request forms should also give </w:t>
      </w:r>
      <w:r w:rsidR="002E7F4A" w:rsidRPr="0034624D">
        <w:rPr>
          <w:rFonts w:cs="Arial"/>
          <w:i/>
          <w:szCs w:val="24"/>
        </w:rPr>
        <w:t>legibly:</w:t>
      </w:r>
    </w:p>
    <w:p w:rsidR="002E7F4A" w:rsidRPr="0034624D" w:rsidRDefault="002E7F4A" w:rsidP="002E7F4A">
      <w:pPr>
        <w:autoSpaceDE w:val="0"/>
        <w:autoSpaceDN w:val="0"/>
        <w:adjustRightInd w:val="0"/>
        <w:ind w:left="709" w:hanging="709"/>
        <w:jc w:val="both"/>
        <w:rPr>
          <w:rFonts w:cs="Arial"/>
          <w:i/>
          <w:szCs w:val="24"/>
        </w:rPr>
      </w:pPr>
    </w:p>
    <w:p w:rsidR="002E7F4A" w:rsidRPr="0034624D" w:rsidRDefault="002E7F4A" w:rsidP="002E7F4A">
      <w:pPr>
        <w:numPr>
          <w:ilvl w:val="0"/>
          <w:numId w:val="18"/>
        </w:numPr>
        <w:autoSpaceDE w:val="0"/>
        <w:autoSpaceDN w:val="0"/>
        <w:adjustRightInd w:val="0"/>
        <w:jc w:val="both"/>
        <w:rPr>
          <w:rFonts w:cs="Arial"/>
          <w:szCs w:val="24"/>
        </w:rPr>
      </w:pPr>
      <w:r w:rsidRPr="0034624D">
        <w:rPr>
          <w:rFonts w:cs="Arial"/>
          <w:szCs w:val="24"/>
        </w:rPr>
        <w:t>the name of the person authorising the test / transfusion</w:t>
      </w:r>
    </w:p>
    <w:p w:rsidR="002E7F4A" w:rsidRPr="0034624D" w:rsidRDefault="002E7F4A" w:rsidP="002E7F4A">
      <w:pPr>
        <w:numPr>
          <w:ilvl w:val="0"/>
          <w:numId w:val="18"/>
        </w:numPr>
        <w:autoSpaceDE w:val="0"/>
        <w:autoSpaceDN w:val="0"/>
        <w:adjustRightInd w:val="0"/>
        <w:jc w:val="both"/>
        <w:rPr>
          <w:rFonts w:cs="Arial"/>
          <w:szCs w:val="24"/>
        </w:rPr>
      </w:pPr>
      <w:r w:rsidRPr="0034624D">
        <w:rPr>
          <w:rFonts w:cs="Arial"/>
          <w:szCs w:val="24"/>
        </w:rPr>
        <w:t>the location of the patient</w:t>
      </w:r>
    </w:p>
    <w:p w:rsidR="002E7F4A" w:rsidRPr="0034624D" w:rsidRDefault="002E7F4A" w:rsidP="002E7F4A">
      <w:pPr>
        <w:numPr>
          <w:ilvl w:val="0"/>
          <w:numId w:val="18"/>
        </w:numPr>
        <w:autoSpaceDE w:val="0"/>
        <w:autoSpaceDN w:val="0"/>
        <w:adjustRightInd w:val="0"/>
        <w:jc w:val="both"/>
        <w:rPr>
          <w:rFonts w:cs="Arial"/>
          <w:szCs w:val="24"/>
        </w:rPr>
      </w:pPr>
      <w:r w:rsidRPr="0034624D">
        <w:rPr>
          <w:rFonts w:cs="Arial"/>
          <w:szCs w:val="24"/>
        </w:rPr>
        <w:t xml:space="preserve">relevant clinical details regarding the diagnosis, the reason for transfusion and the rationale for any special requirements for components ordered </w:t>
      </w:r>
    </w:p>
    <w:p w:rsidR="002E7F4A" w:rsidRPr="0034624D" w:rsidRDefault="002E7F4A" w:rsidP="002E7F4A">
      <w:pPr>
        <w:autoSpaceDE w:val="0"/>
        <w:autoSpaceDN w:val="0"/>
        <w:adjustRightInd w:val="0"/>
        <w:ind w:left="1843"/>
        <w:jc w:val="both"/>
        <w:rPr>
          <w:rFonts w:cs="Arial"/>
          <w:szCs w:val="24"/>
        </w:rPr>
      </w:pPr>
    </w:p>
    <w:p w:rsidR="002E7F4A" w:rsidRDefault="002E7F4A" w:rsidP="002E7F4A">
      <w:pPr>
        <w:tabs>
          <w:tab w:val="left" w:pos="1843"/>
        </w:tabs>
        <w:autoSpaceDE w:val="0"/>
        <w:autoSpaceDN w:val="0"/>
        <w:adjustRightInd w:val="0"/>
        <w:ind w:left="1843" w:hanging="1134"/>
        <w:jc w:val="both"/>
        <w:rPr>
          <w:rFonts w:cs="Arial"/>
          <w:szCs w:val="24"/>
        </w:rPr>
      </w:pPr>
      <w:r w:rsidRPr="0034624D">
        <w:rPr>
          <w:rFonts w:cs="Arial"/>
          <w:szCs w:val="24"/>
        </w:rPr>
        <w:t>Although th</w:t>
      </w:r>
      <w:r>
        <w:rPr>
          <w:rFonts w:cs="Arial"/>
          <w:szCs w:val="24"/>
        </w:rPr>
        <w:t>is information is desirable, it</w:t>
      </w:r>
      <w:r w:rsidRPr="0034624D">
        <w:rPr>
          <w:rFonts w:cs="Arial"/>
          <w:szCs w:val="24"/>
        </w:rPr>
        <w:t>s absence will not impact patient testing.</w:t>
      </w:r>
    </w:p>
    <w:p w:rsidR="00C12CD2" w:rsidRDefault="00C12CD2" w:rsidP="00C12CD2">
      <w:pPr>
        <w:tabs>
          <w:tab w:val="left" w:pos="1843"/>
        </w:tabs>
        <w:autoSpaceDE w:val="0"/>
        <w:autoSpaceDN w:val="0"/>
        <w:adjustRightInd w:val="0"/>
        <w:jc w:val="both"/>
        <w:rPr>
          <w:rFonts w:cs="Arial"/>
          <w:szCs w:val="24"/>
        </w:rPr>
      </w:pPr>
    </w:p>
    <w:p w:rsidR="00C12CD2" w:rsidRPr="00C12CD2" w:rsidRDefault="003D66E3" w:rsidP="00C12CD2">
      <w:pPr>
        <w:ind w:left="709" w:hanging="709"/>
        <w:jc w:val="both"/>
        <w:rPr>
          <w:rFonts w:cs="Arial"/>
          <w:szCs w:val="22"/>
          <w:lang w:eastAsia="en-GB"/>
        </w:rPr>
      </w:pPr>
      <w:r>
        <w:rPr>
          <w:rFonts w:cs="Arial"/>
          <w:szCs w:val="22"/>
          <w:lang w:eastAsia="en-GB"/>
        </w:rPr>
        <w:t>2.</w:t>
      </w:r>
      <w:r w:rsidR="001B39E7">
        <w:rPr>
          <w:rFonts w:cs="Arial"/>
          <w:szCs w:val="22"/>
          <w:lang w:eastAsia="en-GB"/>
        </w:rPr>
        <w:t>8</w:t>
      </w:r>
      <w:r w:rsidR="00C12CD2">
        <w:rPr>
          <w:rFonts w:cs="Arial"/>
          <w:szCs w:val="22"/>
          <w:lang w:eastAsia="en-GB"/>
        </w:rPr>
        <w:tab/>
      </w:r>
      <w:r w:rsidR="00C12CD2" w:rsidRPr="00E82691">
        <w:rPr>
          <w:rFonts w:cs="Arial"/>
          <w:szCs w:val="22"/>
          <w:lang w:eastAsia="en-GB"/>
        </w:rPr>
        <w:t>Under no circumstances can the sample or request form be altered by the clinical area after receipt.</w:t>
      </w:r>
    </w:p>
    <w:p w:rsidR="00284167" w:rsidRPr="00E82691" w:rsidRDefault="00284167" w:rsidP="00284167"/>
    <w:p w:rsidR="00E82691" w:rsidRDefault="003D66E3" w:rsidP="008E1CB6">
      <w:pPr>
        <w:ind w:left="720" w:hanging="720"/>
      </w:pPr>
      <w:r>
        <w:t>2.</w:t>
      </w:r>
      <w:r w:rsidR="001B39E7">
        <w:t>9</w:t>
      </w:r>
      <w:r w:rsidR="00284167" w:rsidRPr="00E82691">
        <w:tab/>
        <w:t>In exceptional circumstances a BTS Consultant, Specialty Doctor or Consultant Clinical Scientist or the Laboratory Manager may agree to process a sample that fails to meet the standards set out above. All such incidents must be reported through the SNBTS Incident Reporting System.</w:t>
      </w:r>
    </w:p>
    <w:p w:rsidR="008E1CB6" w:rsidRPr="008E1CB6" w:rsidRDefault="008E1CB6" w:rsidP="008E1CB6">
      <w:pPr>
        <w:ind w:left="720" w:hanging="720"/>
      </w:pPr>
    </w:p>
    <w:p w:rsidR="004B7EE5" w:rsidRDefault="003D66E3" w:rsidP="004B7EE5">
      <w:pPr>
        <w:autoSpaceDE w:val="0"/>
        <w:autoSpaceDN w:val="0"/>
        <w:adjustRightInd w:val="0"/>
        <w:ind w:left="709" w:hanging="709"/>
        <w:jc w:val="both"/>
        <w:rPr>
          <w:rFonts w:cs="Arial"/>
          <w:szCs w:val="24"/>
        </w:rPr>
      </w:pPr>
      <w:r>
        <w:rPr>
          <w:rFonts w:cs="Arial"/>
          <w:szCs w:val="24"/>
        </w:rPr>
        <w:t>2.</w:t>
      </w:r>
      <w:r w:rsidR="008920FB">
        <w:rPr>
          <w:rFonts w:cs="Arial"/>
          <w:szCs w:val="24"/>
        </w:rPr>
        <w:t>1</w:t>
      </w:r>
      <w:r w:rsidR="001B39E7">
        <w:rPr>
          <w:rFonts w:cs="Arial"/>
          <w:szCs w:val="24"/>
        </w:rPr>
        <w:t>0</w:t>
      </w:r>
      <w:r w:rsidR="00E82691">
        <w:rPr>
          <w:rFonts w:cs="Arial"/>
          <w:szCs w:val="24"/>
        </w:rPr>
        <w:tab/>
      </w:r>
      <w:r w:rsidR="00E82691" w:rsidRPr="00E82691">
        <w:rPr>
          <w:rFonts w:cs="Arial"/>
          <w:szCs w:val="24"/>
        </w:rPr>
        <w:t>In urgent cases</w:t>
      </w:r>
      <w:r w:rsidR="001848BD">
        <w:rPr>
          <w:rFonts w:cs="Arial"/>
          <w:szCs w:val="24"/>
        </w:rPr>
        <w:t xml:space="preserve"> when a sample does not meet these requirements</w:t>
      </w:r>
      <w:r w:rsidR="008D3B5A">
        <w:rPr>
          <w:rFonts w:cs="Arial"/>
          <w:szCs w:val="24"/>
        </w:rPr>
        <w:t>, emergency b</w:t>
      </w:r>
      <w:r w:rsidR="001848BD">
        <w:rPr>
          <w:rFonts w:cs="Arial"/>
          <w:szCs w:val="24"/>
        </w:rPr>
        <w:t>lood should be issued</w:t>
      </w:r>
      <w:r w:rsidR="004B7EE5">
        <w:rPr>
          <w:rFonts w:cs="Arial"/>
          <w:szCs w:val="24"/>
        </w:rPr>
        <w:t xml:space="preserve"> in order to avoid unnecessary </w:t>
      </w:r>
      <w:r w:rsidR="00E82691" w:rsidRPr="00E82691">
        <w:rPr>
          <w:rFonts w:cs="Arial"/>
          <w:szCs w:val="24"/>
        </w:rPr>
        <w:t>delays whilst a corre</w:t>
      </w:r>
      <w:r w:rsidR="004B7EE5">
        <w:rPr>
          <w:rFonts w:cs="Arial"/>
          <w:szCs w:val="24"/>
        </w:rPr>
        <w:t>ctly labelled sample is awaited.</w:t>
      </w:r>
    </w:p>
    <w:p w:rsidR="000430E8" w:rsidRDefault="000430E8" w:rsidP="004B7EE5">
      <w:pPr>
        <w:autoSpaceDE w:val="0"/>
        <w:autoSpaceDN w:val="0"/>
        <w:adjustRightInd w:val="0"/>
        <w:ind w:left="709" w:hanging="709"/>
        <w:jc w:val="both"/>
        <w:rPr>
          <w:rFonts w:cs="Arial"/>
          <w:szCs w:val="24"/>
        </w:rPr>
      </w:pPr>
    </w:p>
    <w:p w:rsidR="000430E8" w:rsidRDefault="000430E8" w:rsidP="004B7EE5">
      <w:pPr>
        <w:autoSpaceDE w:val="0"/>
        <w:autoSpaceDN w:val="0"/>
        <w:adjustRightInd w:val="0"/>
        <w:ind w:left="709" w:hanging="709"/>
        <w:jc w:val="both"/>
        <w:rPr>
          <w:b/>
          <w:sz w:val="24"/>
        </w:rPr>
      </w:pPr>
    </w:p>
    <w:p w:rsidR="00F8528B" w:rsidRPr="004B7EE5" w:rsidRDefault="004B7EE5" w:rsidP="008E1CB6">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both"/>
        <w:rPr>
          <w:rFonts w:cs="Arial"/>
          <w:szCs w:val="24"/>
        </w:rPr>
      </w:pPr>
      <w:r w:rsidRPr="004B7EE5">
        <w:rPr>
          <w:b/>
          <w:sz w:val="24"/>
        </w:rPr>
        <w:t>3.</w:t>
      </w:r>
      <w:r>
        <w:rPr>
          <w:b/>
          <w:sz w:val="24"/>
        </w:rPr>
        <w:t xml:space="preserve"> </w:t>
      </w:r>
      <w:r w:rsidR="0035355C" w:rsidRPr="004B7EE5">
        <w:rPr>
          <w:b/>
          <w:sz w:val="24"/>
        </w:rPr>
        <w:t>Other blood sample types</w:t>
      </w:r>
    </w:p>
    <w:p w:rsidR="00F8528B" w:rsidRDefault="00F8528B" w:rsidP="00F8528B">
      <w:pPr>
        <w:ind w:left="360"/>
      </w:pPr>
    </w:p>
    <w:p w:rsidR="00F8528B" w:rsidRPr="00B97D3F" w:rsidRDefault="003D66E3" w:rsidP="00F8528B">
      <w:pPr>
        <w:rPr>
          <w:b/>
        </w:rPr>
      </w:pPr>
      <w:r>
        <w:rPr>
          <w:b/>
        </w:rPr>
        <w:t>3.</w:t>
      </w:r>
      <w:r w:rsidR="00F8528B" w:rsidRPr="0058284A">
        <w:rPr>
          <w:b/>
        </w:rPr>
        <w:t xml:space="preserve">1 </w:t>
      </w:r>
      <w:r w:rsidR="00F8528B" w:rsidRPr="0058284A">
        <w:rPr>
          <w:b/>
        </w:rPr>
        <w:tab/>
      </w:r>
      <w:r w:rsidR="00463288" w:rsidRPr="0058284A">
        <w:rPr>
          <w:b/>
        </w:rPr>
        <w:t>Red Cell Immunohaematology (RCI</w:t>
      </w:r>
      <w:r w:rsidR="0058284A">
        <w:rPr>
          <w:b/>
        </w:rPr>
        <w:t>) samples</w:t>
      </w:r>
    </w:p>
    <w:p w:rsidR="00B97D3F" w:rsidRDefault="00B97D3F" w:rsidP="00F8528B"/>
    <w:p w:rsidR="006D1A32" w:rsidRDefault="003D66E3" w:rsidP="00F8528B">
      <w:r>
        <w:t>3</w:t>
      </w:r>
      <w:r w:rsidR="00B97D3F">
        <w:t>.1.1</w:t>
      </w:r>
      <w:r w:rsidR="00B97D3F">
        <w:tab/>
      </w:r>
    </w:p>
    <w:tbl>
      <w:tblPr>
        <w:tblStyle w:val="TableGrid"/>
        <w:tblW w:w="0" w:type="auto"/>
        <w:tblInd w:w="801" w:type="dxa"/>
        <w:tblLook w:val="04A0" w:firstRow="1" w:lastRow="0" w:firstColumn="1" w:lastColumn="0" w:noHBand="0" w:noVBand="1"/>
      </w:tblPr>
      <w:tblGrid>
        <w:gridCol w:w="4977"/>
      </w:tblGrid>
      <w:tr w:rsidR="00463288" w:rsidTr="00463288">
        <w:tc>
          <w:tcPr>
            <w:tcW w:w="4977" w:type="dxa"/>
            <w:shd w:val="clear" w:color="auto" w:fill="D9D9D9" w:themeFill="background1" w:themeFillShade="D9"/>
          </w:tcPr>
          <w:p w:rsidR="00463288" w:rsidRPr="00F8528B" w:rsidRDefault="006D1A32" w:rsidP="00F8528B">
            <w:pPr>
              <w:rPr>
                <w:b/>
                <w:sz w:val="24"/>
                <w:szCs w:val="22"/>
              </w:rPr>
            </w:pPr>
            <w:r>
              <w:rPr>
                <w:b/>
                <w:szCs w:val="22"/>
              </w:rPr>
              <w:t>Sample type</w:t>
            </w:r>
          </w:p>
        </w:tc>
      </w:tr>
      <w:tr w:rsidR="00463288" w:rsidTr="00463288">
        <w:tc>
          <w:tcPr>
            <w:tcW w:w="4977" w:type="dxa"/>
          </w:tcPr>
          <w:p w:rsidR="00463288" w:rsidRPr="000D7D2A" w:rsidRDefault="00463288" w:rsidP="00F8528B">
            <w:r w:rsidRPr="000D7D2A">
              <w:t>FMH estimation by flow cytometry</w:t>
            </w:r>
          </w:p>
        </w:tc>
      </w:tr>
    </w:tbl>
    <w:p w:rsidR="007F35CC" w:rsidRDefault="007F35CC" w:rsidP="007F35CC">
      <w:pPr>
        <w:rPr>
          <w:szCs w:val="22"/>
        </w:rPr>
      </w:pPr>
    </w:p>
    <w:p w:rsidR="007F35CC" w:rsidRDefault="007F35CC" w:rsidP="001F14C7">
      <w:pPr>
        <w:ind w:left="360"/>
        <w:rPr>
          <w:szCs w:val="22"/>
        </w:rPr>
      </w:pPr>
      <w:r>
        <w:rPr>
          <w:szCs w:val="22"/>
        </w:rPr>
        <w:t>N</w:t>
      </w:r>
      <w:r w:rsidRPr="0035355C">
        <w:rPr>
          <w:szCs w:val="22"/>
        </w:rPr>
        <w:t xml:space="preserve">on pre-transfusion samples </w:t>
      </w:r>
      <w:r>
        <w:rPr>
          <w:szCs w:val="22"/>
        </w:rPr>
        <w:t xml:space="preserve">listed above </w:t>
      </w:r>
      <w:r w:rsidRPr="0035355C">
        <w:rPr>
          <w:szCs w:val="22"/>
        </w:rPr>
        <w:t>can be accepted where they meet the following criteria:</w:t>
      </w:r>
    </w:p>
    <w:p w:rsidR="007F35CC" w:rsidRPr="0035355C" w:rsidRDefault="00060807" w:rsidP="002711D5">
      <w:pPr>
        <w:numPr>
          <w:ilvl w:val="0"/>
          <w:numId w:val="22"/>
        </w:numPr>
        <w:rPr>
          <w:szCs w:val="22"/>
        </w:rPr>
      </w:pPr>
      <w:r>
        <w:rPr>
          <w:szCs w:val="22"/>
        </w:rPr>
        <w:t>Samples are labelled with</w:t>
      </w:r>
      <w:r w:rsidR="0086548A">
        <w:rPr>
          <w:szCs w:val="22"/>
        </w:rPr>
        <w:t xml:space="preserve"> the four </w:t>
      </w:r>
      <w:r w:rsidR="003235A9">
        <w:rPr>
          <w:szCs w:val="22"/>
        </w:rPr>
        <w:t xml:space="preserve">core </w:t>
      </w:r>
      <w:r w:rsidR="0086548A">
        <w:rPr>
          <w:szCs w:val="22"/>
        </w:rPr>
        <w:t>patient identifiers</w:t>
      </w:r>
      <w:r>
        <w:rPr>
          <w:szCs w:val="22"/>
        </w:rPr>
        <w:t xml:space="preserve"> in </w:t>
      </w:r>
      <w:r w:rsidR="0086548A">
        <w:rPr>
          <w:szCs w:val="22"/>
        </w:rPr>
        <w:t xml:space="preserve">Section </w:t>
      </w:r>
      <w:r w:rsidR="003235A9">
        <w:rPr>
          <w:szCs w:val="22"/>
        </w:rPr>
        <w:t>2</w:t>
      </w:r>
      <w:r w:rsidR="0086548A">
        <w:rPr>
          <w:szCs w:val="22"/>
        </w:rPr>
        <w:t>.1</w:t>
      </w:r>
    </w:p>
    <w:p w:rsidR="007F35CC" w:rsidRDefault="0028589F" w:rsidP="002711D5">
      <w:pPr>
        <w:numPr>
          <w:ilvl w:val="0"/>
          <w:numId w:val="22"/>
        </w:numPr>
        <w:rPr>
          <w:szCs w:val="22"/>
        </w:rPr>
      </w:pPr>
      <w:r>
        <w:rPr>
          <w:szCs w:val="22"/>
        </w:rPr>
        <w:t>A</w:t>
      </w:r>
      <w:r w:rsidR="007F35CC" w:rsidRPr="0035355C">
        <w:rPr>
          <w:szCs w:val="22"/>
        </w:rPr>
        <w:t>ddressograph labels are acceptable (forms and sample tubes)</w:t>
      </w:r>
    </w:p>
    <w:p w:rsidR="0092062E" w:rsidRDefault="0092062E" w:rsidP="000430E8">
      <w:pPr>
        <w:ind w:left="720"/>
        <w:rPr>
          <w:szCs w:val="22"/>
        </w:rPr>
      </w:pPr>
    </w:p>
    <w:p w:rsidR="0092062E" w:rsidRDefault="0092062E" w:rsidP="000430E8">
      <w:pPr>
        <w:ind w:left="1440" w:hanging="1440"/>
        <w:rPr>
          <w:szCs w:val="22"/>
        </w:rPr>
      </w:pPr>
      <w:r>
        <w:rPr>
          <w:szCs w:val="22"/>
        </w:rPr>
        <w:t xml:space="preserve">3.1.1.2 </w:t>
      </w:r>
      <w:r>
        <w:rPr>
          <w:szCs w:val="22"/>
        </w:rPr>
        <w:tab/>
        <w:t>Samples for FMH estimation sent from Western Isles Hospital are exempt from the a</w:t>
      </w:r>
      <w:r w:rsidR="0022400F">
        <w:rPr>
          <w:szCs w:val="22"/>
        </w:rPr>
        <w:t>bove and must be hand labelled. FMH estimation for these samples is performed initially by flow cytometry. In some cases, estimation by flow cytometry will not be possible (for example neonatal weak D) the sample will be referred for FMH estimation by Kleihauer</w:t>
      </w:r>
      <w:r w:rsidR="007F2088">
        <w:rPr>
          <w:szCs w:val="22"/>
        </w:rPr>
        <w:t xml:space="preserve"> test</w:t>
      </w:r>
      <w:r w:rsidR="0022400F">
        <w:rPr>
          <w:szCs w:val="22"/>
        </w:rPr>
        <w:t>. The sample must therefore meet the standard sample acceptance criteria (see section 2).</w:t>
      </w:r>
    </w:p>
    <w:p w:rsidR="006D1A32" w:rsidRDefault="006D1A32" w:rsidP="006D1A32">
      <w:pPr>
        <w:rPr>
          <w:szCs w:val="22"/>
        </w:rPr>
      </w:pPr>
    </w:p>
    <w:p w:rsidR="006D1A32" w:rsidRDefault="003D66E3" w:rsidP="006D1A32">
      <w:pPr>
        <w:rPr>
          <w:szCs w:val="22"/>
        </w:rPr>
      </w:pPr>
      <w:r>
        <w:rPr>
          <w:szCs w:val="22"/>
        </w:rPr>
        <w:t>3</w:t>
      </w:r>
      <w:r w:rsidR="006D1A32">
        <w:rPr>
          <w:szCs w:val="22"/>
        </w:rPr>
        <w:t xml:space="preserve">.1.2 </w:t>
      </w:r>
    </w:p>
    <w:tbl>
      <w:tblPr>
        <w:tblStyle w:val="TableGrid"/>
        <w:tblW w:w="0" w:type="auto"/>
        <w:tblInd w:w="801" w:type="dxa"/>
        <w:tblLook w:val="04A0" w:firstRow="1" w:lastRow="0" w:firstColumn="1" w:lastColumn="0" w:noHBand="0" w:noVBand="1"/>
      </w:tblPr>
      <w:tblGrid>
        <w:gridCol w:w="4977"/>
      </w:tblGrid>
      <w:tr w:rsidR="006D1A32" w:rsidTr="00E77498">
        <w:tc>
          <w:tcPr>
            <w:tcW w:w="4977" w:type="dxa"/>
            <w:shd w:val="clear" w:color="auto" w:fill="D9D9D9" w:themeFill="background1" w:themeFillShade="D9"/>
          </w:tcPr>
          <w:p w:rsidR="006D1A32" w:rsidRPr="00F8528B" w:rsidRDefault="006D1A32" w:rsidP="00E77498">
            <w:pPr>
              <w:rPr>
                <w:b/>
                <w:sz w:val="24"/>
                <w:szCs w:val="22"/>
              </w:rPr>
            </w:pPr>
            <w:r>
              <w:rPr>
                <w:b/>
                <w:szCs w:val="22"/>
              </w:rPr>
              <w:t>Sample type</w:t>
            </w:r>
          </w:p>
        </w:tc>
      </w:tr>
      <w:tr w:rsidR="006D1A32" w:rsidTr="00E77498">
        <w:tc>
          <w:tcPr>
            <w:tcW w:w="4977" w:type="dxa"/>
          </w:tcPr>
          <w:p w:rsidR="006D1A32" w:rsidRPr="000D7D2A" w:rsidRDefault="006D1A32" w:rsidP="00B97D3F">
            <w:r>
              <w:t xml:space="preserve">Aliquot of sample for anti-D or anti-c </w:t>
            </w:r>
            <w:r w:rsidR="00FD77D8">
              <w:t>quantitation</w:t>
            </w:r>
            <w:r>
              <w:t xml:space="preserve"> received from SNBTS laboratory</w:t>
            </w:r>
          </w:p>
        </w:tc>
      </w:tr>
    </w:tbl>
    <w:p w:rsidR="007F35CC" w:rsidRDefault="007F35CC" w:rsidP="00F8528B"/>
    <w:p w:rsidR="006D1A32" w:rsidRDefault="006D1A32" w:rsidP="001F14C7">
      <w:pPr>
        <w:ind w:left="360"/>
        <w:rPr>
          <w:szCs w:val="22"/>
        </w:rPr>
      </w:pPr>
      <w:r>
        <w:rPr>
          <w:szCs w:val="22"/>
        </w:rPr>
        <w:t>N</w:t>
      </w:r>
      <w:r w:rsidRPr="0035355C">
        <w:rPr>
          <w:szCs w:val="22"/>
        </w:rPr>
        <w:t xml:space="preserve">on pre-transfusion samples </w:t>
      </w:r>
      <w:r>
        <w:rPr>
          <w:szCs w:val="22"/>
        </w:rPr>
        <w:t xml:space="preserve">listed above </w:t>
      </w:r>
      <w:r w:rsidRPr="0035355C">
        <w:rPr>
          <w:szCs w:val="22"/>
        </w:rPr>
        <w:t>can be accepted where they meet the following criteria:</w:t>
      </w:r>
    </w:p>
    <w:p w:rsidR="006D1A32" w:rsidRDefault="006D1A32" w:rsidP="002711D5">
      <w:pPr>
        <w:numPr>
          <w:ilvl w:val="0"/>
          <w:numId w:val="22"/>
        </w:numPr>
        <w:rPr>
          <w:szCs w:val="22"/>
        </w:rPr>
      </w:pPr>
      <w:r>
        <w:rPr>
          <w:szCs w:val="22"/>
        </w:rPr>
        <w:t xml:space="preserve">Samples are labelled with the four </w:t>
      </w:r>
      <w:r w:rsidR="003235A9">
        <w:rPr>
          <w:szCs w:val="22"/>
        </w:rPr>
        <w:t xml:space="preserve">core </w:t>
      </w:r>
      <w:r>
        <w:rPr>
          <w:szCs w:val="22"/>
        </w:rPr>
        <w:t xml:space="preserve">patient identifiers in Section </w:t>
      </w:r>
      <w:r w:rsidR="003235A9">
        <w:rPr>
          <w:szCs w:val="22"/>
        </w:rPr>
        <w:t>2</w:t>
      </w:r>
      <w:r>
        <w:rPr>
          <w:szCs w:val="22"/>
        </w:rPr>
        <w:t>.1</w:t>
      </w:r>
    </w:p>
    <w:p w:rsidR="00B97D3F" w:rsidRPr="0035355C" w:rsidRDefault="00B97D3F" w:rsidP="00B97D3F">
      <w:pPr>
        <w:ind w:left="720"/>
        <w:rPr>
          <w:szCs w:val="22"/>
        </w:rPr>
      </w:pPr>
    </w:p>
    <w:p w:rsidR="00B97D3F" w:rsidRDefault="003D66E3" w:rsidP="00F8528B">
      <w:r>
        <w:t>3</w:t>
      </w:r>
      <w:r w:rsidR="00B97D3F">
        <w:t>.1.3</w:t>
      </w:r>
    </w:p>
    <w:tbl>
      <w:tblPr>
        <w:tblStyle w:val="TableGrid"/>
        <w:tblW w:w="0" w:type="auto"/>
        <w:tblInd w:w="801" w:type="dxa"/>
        <w:tblLook w:val="04A0" w:firstRow="1" w:lastRow="0" w:firstColumn="1" w:lastColumn="0" w:noHBand="0" w:noVBand="1"/>
      </w:tblPr>
      <w:tblGrid>
        <w:gridCol w:w="4977"/>
      </w:tblGrid>
      <w:tr w:rsidR="00B97D3F" w:rsidTr="00E77498">
        <w:tc>
          <w:tcPr>
            <w:tcW w:w="4977" w:type="dxa"/>
            <w:shd w:val="clear" w:color="auto" w:fill="D9D9D9" w:themeFill="background1" w:themeFillShade="D9"/>
          </w:tcPr>
          <w:p w:rsidR="00B97D3F" w:rsidRPr="00F8528B" w:rsidRDefault="00B97D3F" w:rsidP="00E77498">
            <w:pPr>
              <w:rPr>
                <w:b/>
                <w:sz w:val="24"/>
                <w:szCs w:val="22"/>
              </w:rPr>
            </w:pPr>
            <w:r>
              <w:rPr>
                <w:b/>
                <w:szCs w:val="22"/>
              </w:rPr>
              <w:t>Sample type</w:t>
            </w:r>
          </w:p>
        </w:tc>
      </w:tr>
      <w:tr w:rsidR="00B97D3F" w:rsidTr="00E77498">
        <w:tc>
          <w:tcPr>
            <w:tcW w:w="4977" w:type="dxa"/>
          </w:tcPr>
          <w:p w:rsidR="00B97D3F" w:rsidRPr="000D7D2A" w:rsidRDefault="00B97D3F" w:rsidP="00E77498">
            <w:r>
              <w:t>Blood samples from allogeneic stem cell donors</w:t>
            </w:r>
          </w:p>
        </w:tc>
      </w:tr>
    </w:tbl>
    <w:p w:rsidR="00B97D3F" w:rsidRDefault="00B97D3F" w:rsidP="00B97D3F">
      <w:pPr>
        <w:rPr>
          <w:szCs w:val="22"/>
        </w:rPr>
      </w:pPr>
    </w:p>
    <w:p w:rsidR="00B97D3F" w:rsidRDefault="00B97D3F" w:rsidP="001F14C7">
      <w:pPr>
        <w:ind w:left="360"/>
        <w:rPr>
          <w:szCs w:val="22"/>
        </w:rPr>
      </w:pPr>
      <w:r>
        <w:rPr>
          <w:szCs w:val="22"/>
        </w:rPr>
        <w:t>N</w:t>
      </w:r>
      <w:r w:rsidRPr="0035355C">
        <w:rPr>
          <w:szCs w:val="22"/>
        </w:rPr>
        <w:t xml:space="preserve">on pre-transfusion samples </w:t>
      </w:r>
      <w:r>
        <w:rPr>
          <w:szCs w:val="22"/>
        </w:rPr>
        <w:t xml:space="preserve">listed above </w:t>
      </w:r>
      <w:r w:rsidRPr="0035355C">
        <w:rPr>
          <w:szCs w:val="22"/>
        </w:rPr>
        <w:t>can be accepted where they meet the following criteria:</w:t>
      </w:r>
    </w:p>
    <w:p w:rsidR="00B97D3F" w:rsidRDefault="00B97D3F" w:rsidP="002711D5">
      <w:pPr>
        <w:numPr>
          <w:ilvl w:val="0"/>
          <w:numId w:val="22"/>
        </w:numPr>
        <w:rPr>
          <w:szCs w:val="22"/>
        </w:rPr>
      </w:pPr>
      <w:r>
        <w:rPr>
          <w:szCs w:val="22"/>
        </w:rPr>
        <w:t>Samples are labelled with a unique identifier</w:t>
      </w:r>
    </w:p>
    <w:p w:rsidR="006D1A32" w:rsidRDefault="006D1A32" w:rsidP="00F8528B"/>
    <w:p w:rsidR="0035355C" w:rsidRPr="0058284A" w:rsidRDefault="003D66E3" w:rsidP="003D66E3">
      <w:pPr>
        <w:rPr>
          <w:rFonts w:cs="Arial"/>
          <w:b/>
          <w:szCs w:val="24"/>
        </w:rPr>
      </w:pPr>
      <w:r>
        <w:rPr>
          <w:rFonts w:cs="Arial"/>
          <w:b/>
          <w:szCs w:val="24"/>
        </w:rPr>
        <w:t xml:space="preserve">3.2     </w:t>
      </w:r>
      <w:r w:rsidR="0035355C" w:rsidRPr="0058284A">
        <w:rPr>
          <w:rFonts w:cs="Arial"/>
          <w:b/>
          <w:szCs w:val="24"/>
        </w:rPr>
        <w:t>Histocompatibility and Immunogenetics (H&amp;I) samples</w:t>
      </w:r>
    </w:p>
    <w:p w:rsidR="00463288" w:rsidRDefault="00463288" w:rsidP="00463288">
      <w:pPr>
        <w:rPr>
          <w:rFonts w:cs="Arial"/>
          <w:szCs w:val="24"/>
        </w:rPr>
      </w:pPr>
    </w:p>
    <w:tbl>
      <w:tblPr>
        <w:tblStyle w:val="TableGrid"/>
        <w:tblW w:w="0" w:type="auto"/>
        <w:tblInd w:w="817" w:type="dxa"/>
        <w:tblLook w:val="04A0" w:firstRow="1" w:lastRow="0" w:firstColumn="1" w:lastColumn="0" w:noHBand="0" w:noVBand="1"/>
      </w:tblPr>
      <w:tblGrid>
        <w:gridCol w:w="3827"/>
      </w:tblGrid>
      <w:tr w:rsidR="00463288" w:rsidRPr="00F8528B" w:rsidTr="00463288">
        <w:tc>
          <w:tcPr>
            <w:tcW w:w="3827" w:type="dxa"/>
            <w:shd w:val="clear" w:color="auto" w:fill="D9D9D9" w:themeFill="background1" w:themeFillShade="D9"/>
          </w:tcPr>
          <w:p w:rsidR="00463288" w:rsidRPr="00F8528B" w:rsidRDefault="00463288" w:rsidP="00463288">
            <w:pPr>
              <w:rPr>
                <w:b/>
                <w:sz w:val="24"/>
              </w:rPr>
            </w:pPr>
            <w:r w:rsidRPr="0028589F">
              <w:rPr>
                <w:b/>
              </w:rPr>
              <w:t>H&amp;I sample type</w:t>
            </w:r>
          </w:p>
        </w:tc>
      </w:tr>
      <w:tr w:rsidR="00463288" w:rsidRPr="000D7D2A" w:rsidTr="00463288">
        <w:tc>
          <w:tcPr>
            <w:tcW w:w="3827" w:type="dxa"/>
          </w:tcPr>
          <w:p w:rsidR="00463288" w:rsidRPr="000D7D2A" w:rsidRDefault="00463288" w:rsidP="00B4365B">
            <w:r w:rsidRPr="000D7D2A">
              <w:t>HLA type and HLA antibody screen</w:t>
            </w:r>
          </w:p>
        </w:tc>
      </w:tr>
      <w:tr w:rsidR="00463288" w:rsidRPr="000D7D2A" w:rsidTr="00463288">
        <w:tc>
          <w:tcPr>
            <w:tcW w:w="3827" w:type="dxa"/>
          </w:tcPr>
          <w:p w:rsidR="00463288" w:rsidRPr="000D7D2A" w:rsidRDefault="00463288" w:rsidP="00B4365B">
            <w:r w:rsidRPr="000D7D2A">
              <w:t>Flow crossmatching for transplant patients</w:t>
            </w:r>
          </w:p>
        </w:tc>
      </w:tr>
    </w:tbl>
    <w:p w:rsidR="0035355C" w:rsidRDefault="0035355C" w:rsidP="00463288">
      <w:pPr>
        <w:rPr>
          <w:sz w:val="24"/>
        </w:rPr>
      </w:pPr>
    </w:p>
    <w:p w:rsidR="00D3645A" w:rsidRDefault="00D3645A" w:rsidP="00D3645A">
      <w:pPr>
        <w:ind w:left="360"/>
        <w:rPr>
          <w:szCs w:val="22"/>
        </w:rPr>
      </w:pPr>
      <w:r>
        <w:rPr>
          <w:szCs w:val="22"/>
        </w:rPr>
        <w:t>The H&amp;I sample request form explains the need for samples to be labelled as in 2.1. However, n</w:t>
      </w:r>
      <w:r w:rsidRPr="0035355C">
        <w:rPr>
          <w:szCs w:val="22"/>
        </w:rPr>
        <w:t xml:space="preserve">on pre-transfusion samples </w:t>
      </w:r>
      <w:r>
        <w:rPr>
          <w:szCs w:val="22"/>
        </w:rPr>
        <w:t xml:space="preserve">listed above </w:t>
      </w:r>
      <w:r w:rsidRPr="0035355C">
        <w:rPr>
          <w:szCs w:val="22"/>
        </w:rPr>
        <w:t>can be accepted where they meet the following criteria:</w:t>
      </w:r>
    </w:p>
    <w:p w:rsidR="0035355C" w:rsidRPr="0035355C" w:rsidRDefault="0035355C" w:rsidP="0035355C">
      <w:pPr>
        <w:rPr>
          <w:szCs w:val="22"/>
        </w:rPr>
      </w:pPr>
    </w:p>
    <w:p w:rsidR="0035355C" w:rsidRPr="0035355C" w:rsidRDefault="0035355C" w:rsidP="002711D5">
      <w:pPr>
        <w:numPr>
          <w:ilvl w:val="0"/>
          <w:numId w:val="22"/>
        </w:numPr>
        <w:rPr>
          <w:szCs w:val="22"/>
        </w:rPr>
      </w:pPr>
      <w:r w:rsidRPr="0035355C">
        <w:rPr>
          <w:szCs w:val="22"/>
        </w:rPr>
        <w:t xml:space="preserve">CHI </w:t>
      </w:r>
      <w:r w:rsidR="001E6BBA">
        <w:rPr>
          <w:szCs w:val="22"/>
        </w:rPr>
        <w:t xml:space="preserve">is </w:t>
      </w:r>
      <w:r w:rsidRPr="0035355C">
        <w:rPr>
          <w:szCs w:val="22"/>
        </w:rPr>
        <w:t>present on form only</w:t>
      </w:r>
    </w:p>
    <w:p w:rsidR="0035355C" w:rsidRPr="0035355C" w:rsidRDefault="0035355C" w:rsidP="002711D5">
      <w:pPr>
        <w:numPr>
          <w:ilvl w:val="0"/>
          <w:numId w:val="22"/>
        </w:numPr>
        <w:rPr>
          <w:szCs w:val="22"/>
        </w:rPr>
      </w:pPr>
      <w:r w:rsidRPr="0035355C">
        <w:rPr>
          <w:szCs w:val="22"/>
        </w:rPr>
        <w:t xml:space="preserve">CHI </w:t>
      </w:r>
      <w:r w:rsidR="001E6BBA">
        <w:rPr>
          <w:szCs w:val="22"/>
        </w:rPr>
        <w:t xml:space="preserve">is </w:t>
      </w:r>
      <w:r w:rsidRPr="0035355C">
        <w:rPr>
          <w:szCs w:val="22"/>
        </w:rPr>
        <w:t xml:space="preserve">present on sample only </w:t>
      </w:r>
    </w:p>
    <w:p w:rsidR="0035355C" w:rsidRDefault="0035355C" w:rsidP="002711D5">
      <w:pPr>
        <w:numPr>
          <w:ilvl w:val="0"/>
          <w:numId w:val="22"/>
        </w:numPr>
        <w:rPr>
          <w:szCs w:val="22"/>
        </w:rPr>
      </w:pPr>
      <w:r w:rsidRPr="0035355C">
        <w:rPr>
          <w:szCs w:val="22"/>
        </w:rPr>
        <w:t xml:space="preserve">Tissue samples </w:t>
      </w:r>
      <w:r w:rsidR="001E6BBA">
        <w:rPr>
          <w:szCs w:val="22"/>
        </w:rPr>
        <w:t>labelled with</w:t>
      </w:r>
      <w:r w:rsidRPr="0035355C">
        <w:rPr>
          <w:szCs w:val="22"/>
        </w:rPr>
        <w:t xml:space="preserve"> only the ODT unique identifier, </w:t>
      </w:r>
      <w:r w:rsidR="001E6BBA">
        <w:rPr>
          <w:szCs w:val="22"/>
        </w:rPr>
        <w:t>as</w:t>
      </w:r>
      <w:r w:rsidRPr="0035355C">
        <w:rPr>
          <w:szCs w:val="22"/>
        </w:rPr>
        <w:t xml:space="preserve"> long as additional donor information is available on the form</w:t>
      </w:r>
    </w:p>
    <w:p w:rsidR="00E32B42" w:rsidRPr="00E32B42" w:rsidRDefault="00E32B42" w:rsidP="00E32B42">
      <w:pPr>
        <w:pStyle w:val="ListParagraph"/>
        <w:numPr>
          <w:ilvl w:val="0"/>
          <w:numId w:val="22"/>
        </w:numPr>
        <w:rPr>
          <w:sz w:val="22"/>
          <w:szCs w:val="22"/>
        </w:rPr>
      </w:pPr>
      <w:r w:rsidRPr="00E32B42">
        <w:rPr>
          <w:sz w:val="22"/>
          <w:szCs w:val="22"/>
        </w:rPr>
        <w:t>Also note that Addressograph labels are acceptable (forms and sample tubes)</w:t>
      </w:r>
    </w:p>
    <w:p w:rsidR="00E32B42" w:rsidRDefault="00E32B42" w:rsidP="00B23DE3">
      <w:pPr>
        <w:ind w:left="720"/>
        <w:rPr>
          <w:szCs w:val="22"/>
        </w:rPr>
      </w:pPr>
    </w:p>
    <w:p w:rsidR="005E7041" w:rsidRDefault="005E7041">
      <w:pPr>
        <w:rPr>
          <w:b/>
          <w:szCs w:val="22"/>
        </w:rPr>
      </w:pPr>
    </w:p>
    <w:p w:rsidR="00CF0F5D" w:rsidRDefault="00CF0F5D" w:rsidP="00CF0F5D">
      <w:pPr>
        <w:numPr>
          <w:ilvl w:val="0"/>
          <w:numId w:val="28"/>
        </w:numPr>
        <w:rPr>
          <w:b/>
          <w:szCs w:val="22"/>
        </w:rPr>
      </w:pPr>
      <w:r w:rsidRPr="00CF0F5D">
        <w:rPr>
          <w:b/>
          <w:szCs w:val="22"/>
        </w:rPr>
        <w:t>References</w:t>
      </w:r>
    </w:p>
    <w:p w:rsidR="00CF0F5D" w:rsidRDefault="00CF0F5D" w:rsidP="00CF0F5D">
      <w:pPr>
        <w:rPr>
          <w:b/>
          <w:szCs w:val="22"/>
        </w:rPr>
      </w:pPr>
    </w:p>
    <w:p w:rsidR="00CF0F5D" w:rsidRDefault="00CF0F5D" w:rsidP="00CF0F5D">
      <w:pPr>
        <w:numPr>
          <w:ilvl w:val="0"/>
          <w:numId w:val="30"/>
        </w:numPr>
      </w:pPr>
      <w:r>
        <w:t>S Narayan (Ed) D Poles et al. on behalf of the Serious Hazards of Transfusion (SHOT) Steering Group. The 2018 Annual SHOT Report (2019)</w:t>
      </w:r>
    </w:p>
    <w:p w:rsidR="005E7041" w:rsidRDefault="005E7041" w:rsidP="00B23DE3">
      <w:pPr>
        <w:ind w:left="720"/>
      </w:pPr>
    </w:p>
    <w:p w:rsidR="002547D3" w:rsidRDefault="002547D3" w:rsidP="00CF0F5D">
      <w:pPr>
        <w:numPr>
          <w:ilvl w:val="0"/>
          <w:numId w:val="30"/>
        </w:numPr>
      </w:pPr>
      <w:r>
        <w:t>Bolton-Maggs P, Wood E, Wiersum-Osselton J. Wrong blood in tube- potential for serious outcomes: can it be prevented? B J Haem 2015; 168: 3-13</w:t>
      </w:r>
    </w:p>
    <w:p w:rsidR="005E7041" w:rsidRDefault="005E7041" w:rsidP="00B23DE3">
      <w:pPr>
        <w:ind w:left="720"/>
      </w:pPr>
    </w:p>
    <w:p w:rsidR="00CF0F5D" w:rsidRDefault="00CF0F5D" w:rsidP="00CF0F5D">
      <w:pPr>
        <w:numPr>
          <w:ilvl w:val="0"/>
          <w:numId w:val="30"/>
        </w:numPr>
      </w:pPr>
      <w:r>
        <w:t>Lumadue JA, Boyd JS, Ness PM. Adherence to a strict specimen labelling policy decreases the incidence of erroneous blood grouping of blood bank sp</w:t>
      </w:r>
      <w:r w:rsidR="0011008C">
        <w:t>e</w:t>
      </w:r>
      <w:r>
        <w:t>cimens. Transfusion 1997; 37: 1169-1172</w:t>
      </w:r>
    </w:p>
    <w:p w:rsidR="00374A19" w:rsidRDefault="00374A19" w:rsidP="00374A19">
      <w:pPr>
        <w:pStyle w:val="ListParagraph"/>
      </w:pPr>
    </w:p>
    <w:p w:rsidR="00374A19" w:rsidRDefault="00374A19" w:rsidP="00374A19">
      <w:pPr>
        <w:numPr>
          <w:ilvl w:val="0"/>
          <w:numId w:val="30"/>
        </w:numPr>
      </w:pPr>
      <w:r w:rsidRPr="00374A19">
        <w:t>Strauss R, Downie H, Wilson A, et al. Sample collection and sample handling errors submitted to the transfusion error surveillance system, 2006 to 2015. Transfusion. 2018;58(7):1697-1707</w:t>
      </w:r>
    </w:p>
    <w:p w:rsidR="005E7041" w:rsidRDefault="005E7041" w:rsidP="00B23DE3"/>
    <w:p w:rsidR="00CF0F5D" w:rsidRDefault="00CF0F5D" w:rsidP="00CF0F5D">
      <w:pPr>
        <w:numPr>
          <w:ilvl w:val="0"/>
          <w:numId w:val="30"/>
        </w:numPr>
      </w:pPr>
      <w:r>
        <w:t>O’Neill E, Richardson- Weber L, McCormack G et al. Am J Clin Pathol 2009; 132: 164-68</w:t>
      </w:r>
    </w:p>
    <w:p w:rsidR="005E7041" w:rsidRDefault="005E7041" w:rsidP="00B23DE3"/>
    <w:p w:rsidR="00CF0F5D" w:rsidRDefault="00CF0F5D" w:rsidP="00CF0F5D">
      <w:pPr>
        <w:numPr>
          <w:ilvl w:val="0"/>
          <w:numId w:val="30"/>
        </w:numPr>
      </w:pPr>
      <w:r>
        <w:t xml:space="preserve">Harris AM, Atterbury CLJ, Chaffe B et al. </w:t>
      </w:r>
      <w:r w:rsidR="006F28B5" w:rsidRPr="00B23DE3">
        <w:t>BSH Guideline</w:t>
      </w:r>
      <w:r w:rsidR="005E7041">
        <w:t>s on the administration of blood components BCSH</w:t>
      </w:r>
      <w:r w:rsidR="006F28B5" w:rsidRPr="00B23DE3">
        <w:t xml:space="preserve"> 2009</w:t>
      </w:r>
    </w:p>
    <w:p w:rsidR="005E7041" w:rsidRDefault="005E7041" w:rsidP="00B23DE3">
      <w:pPr>
        <w:ind w:left="720"/>
      </w:pPr>
    </w:p>
    <w:p w:rsidR="006F28B5" w:rsidRDefault="003F5245" w:rsidP="00CF0F5D">
      <w:pPr>
        <w:numPr>
          <w:ilvl w:val="0"/>
          <w:numId w:val="30"/>
        </w:numPr>
      </w:pPr>
      <w:r>
        <w:t xml:space="preserve">Robinson S, </w:t>
      </w:r>
      <w:r w:rsidR="001A79E4">
        <w:t>Harris A, Atkinson S et al. The administration of blood components: A British Society for Haematology Guideline. Transfusion Medicine 2018; 28: 3-21</w:t>
      </w:r>
    </w:p>
    <w:p w:rsidR="005E7041" w:rsidRDefault="005E7041" w:rsidP="00B23DE3"/>
    <w:p w:rsidR="00216491" w:rsidRDefault="00216491" w:rsidP="00CF0F5D">
      <w:pPr>
        <w:numPr>
          <w:ilvl w:val="0"/>
          <w:numId w:val="30"/>
        </w:numPr>
      </w:pPr>
      <w:r>
        <w:t>Milkins C, Berryman J, Cantwell C et al. Guidelines for pre-transfusion compatibility procedures in blood transfusion laboratories Transfusion Medicine 2013; 23: 3-35</w:t>
      </w:r>
    </w:p>
    <w:p w:rsidR="005E7041" w:rsidRDefault="005E7041" w:rsidP="00B23DE3"/>
    <w:p w:rsidR="001A79E4" w:rsidRDefault="000355E5" w:rsidP="006D436F">
      <w:pPr>
        <w:numPr>
          <w:ilvl w:val="0"/>
          <w:numId w:val="30"/>
        </w:numPr>
      </w:pPr>
      <w:hyperlink r:id="rId8" w:history="1">
        <w:r w:rsidR="006D436F" w:rsidRPr="006D436F">
          <w:rPr>
            <w:rStyle w:val="Hyperlink"/>
          </w:rPr>
          <w:t>https://efi-web.org/committees/standards-committee</w:t>
        </w:r>
      </w:hyperlink>
    </w:p>
    <w:p w:rsidR="00CF0F5D" w:rsidRDefault="00CF0F5D" w:rsidP="00CF0F5D">
      <w:pPr>
        <w:ind w:left="360" w:hanging="360"/>
      </w:pPr>
    </w:p>
    <w:p w:rsidR="009A1A9F" w:rsidRDefault="009A1A9F" w:rsidP="009A1A9F">
      <w:pPr>
        <w:rPr>
          <w:szCs w:val="22"/>
        </w:rPr>
      </w:pPr>
    </w:p>
    <w:p w:rsidR="009A1A9F" w:rsidRPr="009A1A9F" w:rsidRDefault="009A1A9F" w:rsidP="009A1A9F">
      <w:pPr>
        <w:rPr>
          <w:szCs w:val="22"/>
        </w:rPr>
      </w:pPr>
    </w:p>
    <w:p w:rsidR="009A1A9F" w:rsidRDefault="009A1A9F" w:rsidP="009A1A9F">
      <w:pPr>
        <w:tabs>
          <w:tab w:val="left" w:pos="1125"/>
        </w:tabs>
        <w:rPr>
          <w:szCs w:val="22"/>
        </w:rPr>
      </w:pPr>
    </w:p>
    <w:p w:rsidR="009A1A9F" w:rsidRDefault="009A1A9F" w:rsidP="009A1A9F">
      <w:pPr>
        <w:rPr>
          <w:szCs w:val="22"/>
        </w:rPr>
      </w:pPr>
    </w:p>
    <w:p w:rsidR="009A1A9F" w:rsidRDefault="009A1A9F" w:rsidP="009A1A9F">
      <w:pPr>
        <w:rPr>
          <w:rFonts w:cs="Arial"/>
          <w:b/>
          <w:sz w:val="24"/>
          <w:szCs w:val="24"/>
        </w:rPr>
      </w:pPr>
    </w:p>
    <w:p w:rsidR="009A1A9F" w:rsidRPr="009A1A9F" w:rsidRDefault="009A1A9F" w:rsidP="009A1A9F">
      <w:pPr>
        <w:rPr>
          <w:rFonts w:cs="Arial"/>
          <w:sz w:val="24"/>
          <w:szCs w:val="24"/>
        </w:rPr>
      </w:pPr>
    </w:p>
    <w:p w:rsidR="009A1A9F" w:rsidRPr="009A1A9F" w:rsidRDefault="009A1A9F" w:rsidP="009A1A9F">
      <w:pPr>
        <w:rPr>
          <w:rFonts w:cs="Arial"/>
          <w:sz w:val="24"/>
          <w:szCs w:val="24"/>
        </w:rPr>
      </w:pPr>
    </w:p>
    <w:p w:rsidR="009A1A9F" w:rsidRPr="009A1A9F" w:rsidRDefault="009A1A9F" w:rsidP="009A1A9F">
      <w:pPr>
        <w:rPr>
          <w:rFonts w:cs="Arial"/>
          <w:sz w:val="24"/>
          <w:szCs w:val="24"/>
        </w:rPr>
      </w:pPr>
    </w:p>
    <w:p w:rsidR="009A1A9F" w:rsidRPr="009A1A9F" w:rsidRDefault="009A1A9F" w:rsidP="009A1A9F">
      <w:pPr>
        <w:rPr>
          <w:rFonts w:cs="Arial"/>
          <w:sz w:val="24"/>
          <w:szCs w:val="24"/>
        </w:rPr>
      </w:pPr>
    </w:p>
    <w:p w:rsidR="009A1A9F" w:rsidRDefault="009A1A9F" w:rsidP="009A1A9F">
      <w:pPr>
        <w:rPr>
          <w:rFonts w:cs="Arial"/>
          <w:sz w:val="24"/>
          <w:szCs w:val="24"/>
        </w:rPr>
      </w:pPr>
    </w:p>
    <w:p w:rsidR="009A1A9F" w:rsidRDefault="009A1A9F" w:rsidP="009A1A9F">
      <w:pPr>
        <w:rPr>
          <w:rFonts w:cs="Arial"/>
          <w:sz w:val="24"/>
          <w:szCs w:val="24"/>
        </w:rPr>
      </w:pPr>
    </w:p>
    <w:p w:rsidR="009A1A9F" w:rsidRPr="009A1A9F" w:rsidRDefault="009A1A9F" w:rsidP="009A1A9F">
      <w:pPr>
        <w:rPr>
          <w:rFonts w:cs="Arial"/>
          <w:sz w:val="24"/>
          <w:szCs w:val="24"/>
        </w:rPr>
      </w:pPr>
    </w:p>
    <w:p w:rsidR="009A1A9F" w:rsidRPr="009A1A9F" w:rsidRDefault="009A1A9F" w:rsidP="009A1A9F">
      <w:pPr>
        <w:rPr>
          <w:rFonts w:cs="Arial"/>
          <w:sz w:val="24"/>
          <w:szCs w:val="24"/>
        </w:rPr>
      </w:pPr>
    </w:p>
    <w:p w:rsidR="009A1A9F" w:rsidRDefault="009A1A9F" w:rsidP="009A1A9F">
      <w:pPr>
        <w:rPr>
          <w:rFonts w:cs="Arial"/>
          <w:sz w:val="24"/>
          <w:szCs w:val="24"/>
        </w:rPr>
      </w:pPr>
    </w:p>
    <w:p w:rsidR="00A608CE" w:rsidRPr="009A1A9F" w:rsidRDefault="00A608CE" w:rsidP="009A1A9F">
      <w:pPr>
        <w:rPr>
          <w:rFonts w:cs="Arial"/>
          <w:sz w:val="24"/>
          <w:szCs w:val="24"/>
        </w:rPr>
      </w:pPr>
    </w:p>
    <w:sectPr w:rsidR="00A608CE" w:rsidRPr="009A1A9F" w:rsidSect="0004226A">
      <w:headerReference w:type="default" r:id="rId9"/>
      <w:footerReference w:type="default" r:id="rId10"/>
      <w:pgSz w:w="11909" w:h="16834" w:code="9"/>
      <w:pgMar w:top="720" w:right="1138" w:bottom="720" w:left="1138" w:header="562"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5E5" w:rsidRDefault="000355E5">
      <w:r>
        <w:separator/>
      </w:r>
    </w:p>
  </w:endnote>
  <w:endnote w:type="continuationSeparator" w:id="0">
    <w:p w:rsidR="000355E5" w:rsidRDefault="0003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A9F" w:rsidRPr="00C14343" w:rsidRDefault="009A1A9F" w:rsidP="009A1A9F">
    <w:pPr>
      <w:pStyle w:val="Footer"/>
      <w:pBdr>
        <w:top w:val="single" w:sz="4" w:space="1" w:color="auto"/>
      </w:pBdr>
      <w:tabs>
        <w:tab w:val="clear" w:pos="8306"/>
        <w:tab w:val="left" w:pos="7938"/>
      </w:tabs>
      <w:rPr>
        <w:b/>
        <w:caps/>
        <w:sz w:val="24"/>
        <w:szCs w:val="24"/>
      </w:rPr>
    </w:pPr>
    <w:r w:rsidRPr="00C14343">
      <w:rPr>
        <w:b/>
        <w:snapToGrid w:val="0"/>
        <w:sz w:val="24"/>
        <w:szCs w:val="24"/>
      </w:rPr>
      <w:t xml:space="preserve">NATP </w:t>
    </w:r>
    <w:r w:rsidRPr="002840CC">
      <w:rPr>
        <w:b/>
        <w:snapToGrid w:val="0"/>
        <w:sz w:val="24"/>
        <w:szCs w:val="24"/>
      </w:rPr>
      <w:t>CLIN</w:t>
    </w:r>
    <w:r>
      <w:rPr>
        <w:b/>
        <w:snapToGrid w:val="0"/>
        <w:sz w:val="24"/>
        <w:szCs w:val="24"/>
      </w:rPr>
      <w:t xml:space="preserve"> 037 </w:t>
    </w:r>
    <w:r w:rsidR="002B60F0">
      <w:rPr>
        <w:b/>
        <w:snapToGrid w:val="0"/>
        <w:sz w:val="24"/>
        <w:szCs w:val="24"/>
      </w:rPr>
      <w:t>05</w:t>
    </w:r>
    <w:r w:rsidR="002B60F0" w:rsidRPr="00C14343">
      <w:rPr>
        <w:b/>
        <w:snapToGrid w:val="0"/>
        <w:sz w:val="24"/>
        <w:szCs w:val="24"/>
      </w:rPr>
      <w:t xml:space="preserve"> </w:t>
    </w:r>
    <w:r w:rsidRPr="00C14343">
      <w:rPr>
        <w:b/>
        <w:snapToGrid w:val="0"/>
        <w:sz w:val="24"/>
        <w:szCs w:val="24"/>
      </w:rPr>
      <w:tab/>
    </w:r>
    <w:r>
      <w:rPr>
        <w:b/>
        <w:snapToGrid w:val="0"/>
        <w:sz w:val="24"/>
        <w:szCs w:val="24"/>
      </w:rPr>
      <w:tab/>
    </w:r>
    <w:r w:rsidRPr="00C14343">
      <w:rPr>
        <w:b/>
        <w:caps/>
        <w:snapToGrid w:val="0"/>
        <w:sz w:val="24"/>
        <w:szCs w:val="24"/>
      </w:rPr>
      <w:t xml:space="preserve">Page </w:t>
    </w:r>
    <w:r w:rsidRPr="00C14343">
      <w:rPr>
        <w:b/>
        <w:caps/>
        <w:snapToGrid w:val="0"/>
        <w:sz w:val="24"/>
        <w:szCs w:val="24"/>
      </w:rPr>
      <w:fldChar w:fldCharType="begin"/>
    </w:r>
    <w:r w:rsidRPr="00C14343">
      <w:rPr>
        <w:b/>
        <w:caps/>
        <w:snapToGrid w:val="0"/>
        <w:sz w:val="24"/>
        <w:szCs w:val="24"/>
      </w:rPr>
      <w:instrText xml:space="preserve"> PAGE </w:instrText>
    </w:r>
    <w:r w:rsidRPr="00C14343">
      <w:rPr>
        <w:b/>
        <w:caps/>
        <w:snapToGrid w:val="0"/>
        <w:sz w:val="24"/>
        <w:szCs w:val="24"/>
      </w:rPr>
      <w:fldChar w:fldCharType="separate"/>
    </w:r>
    <w:r w:rsidR="005412E6">
      <w:rPr>
        <w:b/>
        <w:caps/>
        <w:noProof/>
        <w:snapToGrid w:val="0"/>
        <w:sz w:val="24"/>
        <w:szCs w:val="24"/>
      </w:rPr>
      <w:t>1</w:t>
    </w:r>
    <w:r w:rsidRPr="00C14343">
      <w:rPr>
        <w:b/>
        <w:caps/>
        <w:snapToGrid w:val="0"/>
        <w:sz w:val="24"/>
        <w:szCs w:val="24"/>
      </w:rPr>
      <w:fldChar w:fldCharType="end"/>
    </w:r>
    <w:r w:rsidRPr="00C14343">
      <w:rPr>
        <w:b/>
        <w:caps/>
        <w:snapToGrid w:val="0"/>
        <w:sz w:val="24"/>
        <w:szCs w:val="24"/>
      </w:rPr>
      <w:t xml:space="preserve"> of </w:t>
    </w:r>
    <w:r>
      <w:rPr>
        <w:b/>
        <w:caps/>
        <w:snapToGrid w:val="0"/>
        <w:sz w:val="24"/>
        <w:szCs w:val="24"/>
      </w:rPr>
      <w:t>6</w:t>
    </w:r>
  </w:p>
  <w:p w:rsidR="009A1A9F" w:rsidRDefault="009A1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5E5" w:rsidRDefault="000355E5">
      <w:r>
        <w:separator/>
      </w:r>
    </w:p>
  </w:footnote>
  <w:footnote w:type="continuationSeparator" w:id="0">
    <w:p w:rsidR="000355E5" w:rsidRDefault="00035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2" w:type="dxa"/>
      <w:tblLayout w:type="fixed"/>
      <w:tblLook w:val="0000" w:firstRow="0" w:lastRow="0" w:firstColumn="0" w:lastColumn="0" w:noHBand="0" w:noVBand="0"/>
    </w:tblPr>
    <w:tblGrid>
      <w:gridCol w:w="1739"/>
      <w:gridCol w:w="6608"/>
      <w:gridCol w:w="1495"/>
    </w:tblGrid>
    <w:tr w:rsidR="009A1A9F" w:rsidTr="0038732F">
      <w:tc>
        <w:tcPr>
          <w:tcW w:w="8347" w:type="dxa"/>
          <w:gridSpan w:val="2"/>
        </w:tcPr>
        <w:p w:rsidR="009A1A9F" w:rsidRPr="009A1A9F" w:rsidRDefault="009A1A9F" w:rsidP="009A1A9F">
          <w:pPr>
            <w:pStyle w:val="Header"/>
          </w:pPr>
          <w:r>
            <w:t>NATF 1490 01 (Relates to NATS QAD 081)</w:t>
          </w:r>
        </w:p>
      </w:tc>
      <w:tc>
        <w:tcPr>
          <w:tcW w:w="1495" w:type="dxa"/>
        </w:tcPr>
        <w:p w:rsidR="009A1A9F" w:rsidRDefault="009A1A9F">
          <w:pPr>
            <w:pStyle w:val="Heading1"/>
            <w:rPr>
              <w:bCs/>
              <w:noProof/>
              <w:lang w:eastAsia="en-GB"/>
            </w:rPr>
          </w:pPr>
        </w:p>
      </w:tc>
    </w:tr>
    <w:tr w:rsidR="0068653D" w:rsidTr="009A1A9F">
      <w:tc>
        <w:tcPr>
          <w:tcW w:w="1739" w:type="dxa"/>
        </w:tcPr>
        <w:p w:rsidR="0068653D" w:rsidRDefault="001379AF">
          <w:r>
            <w:rPr>
              <w:rFonts w:cs="Arial"/>
              <w:noProof/>
              <w:lang w:eastAsia="en-GB"/>
            </w:rPr>
            <w:drawing>
              <wp:inline distT="0" distB="0" distL="0" distR="0">
                <wp:extent cx="858520" cy="731520"/>
                <wp:effectExtent l="19050" t="0" r="0" b="0"/>
                <wp:docPr id="3" name="Picture 3" descr="Colour logo with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logo with trademark"/>
                        <pic:cNvPicPr>
                          <a:picLocks noChangeAspect="1" noChangeArrowheads="1"/>
                        </pic:cNvPicPr>
                      </pic:nvPicPr>
                      <pic:blipFill>
                        <a:blip r:embed="rId1"/>
                        <a:srcRect/>
                        <a:stretch>
                          <a:fillRect/>
                        </a:stretch>
                      </pic:blipFill>
                      <pic:spPr bwMode="auto">
                        <a:xfrm>
                          <a:off x="0" y="0"/>
                          <a:ext cx="858520" cy="731520"/>
                        </a:xfrm>
                        <a:prstGeom prst="rect">
                          <a:avLst/>
                        </a:prstGeom>
                        <a:noFill/>
                        <a:ln w="9525">
                          <a:noFill/>
                          <a:miter lim="800000"/>
                          <a:headEnd/>
                          <a:tailEnd/>
                        </a:ln>
                      </pic:spPr>
                    </pic:pic>
                  </a:graphicData>
                </a:graphic>
              </wp:inline>
            </w:drawing>
          </w:r>
        </w:p>
      </w:tc>
      <w:tc>
        <w:tcPr>
          <w:tcW w:w="6608" w:type="dxa"/>
        </w:tcPr>
        <w:p w:rsidR="009A1A9F" w:rsidRDefault="009A1A9F" w:rsidP="009A1A9F">
          <w:pPr>
            <w:jc w:val="center"/>
            <w:rPr>
              <w:b/>
              <w:sz w:val="24"/>
            </w:rPr>
          </w:pPr>
          <w:r>
            <w:rPr>
              <w:b/>
              <w:sz w:val="24"/>
            </w:rPr>
            <w:t>Scottish National Blood Transfusion Service</w:t>
          </w:r>
        </w:p>
        <w:p w:rsidR="009A1A9F" w:rsidRDefault="009A1A9F" w:rsidP="009A1A9F">
          <w:pPr>
            <w:jc w:val="center"/>
            <w:rPr>
              <w:b/>
              <w:sz w:val="24"/>
            </w:rPr>
          </w:pPr>
          <w:r>
            <w:rPr>
              <w:b/>
              <w:sz w:val="24"/>
            </w:rPr>
            <w:t>Policy Record</w:t>
          </w:r>
        </w:p>
        <w:p w:rsidR="009A1A9F" w:rsidRDefault="009A1A9F" w:rsidP="009A1A9F">
          <w:pPr>
            <w:pStyle w:val="Heading4"/>
          </w:pPr>
        </w:p>
        <w:p w:rsidR="009A1A9F" w:rsidRDefault="009A1A9F" w:rsidP="009A1A9F">
          <w:pPr>
            <w:pStyle w:val="Heading4"/>
          </w:pPr>
          <w:r>
            <w:t xml:space="preserve">Ref: NATP CLIN 037 </w:t>
          </w:r>
          <w:r w:rsidR="0011731D">
            <w:t>05</w:t>
          </w:r>
        </w:p>
        <w:p w:rsidR="009A1A9F" w:rsidRDefault="009A1A9F" w:rsidP="009A1A9F">
          <w:pPr>
            <w:jc w:val="center"/>
            <w:rPr>
              <w:b/>
              <w:sz w:val="26"/>
            </w:rPr>
          </w:pPr>
          <w:r>
            <w:rPr>
              <w:b/>
              <w:sz w:val="26"/>
            </w:rPr>
            <w:t>Cat: Clinical</w:t>
          </w:r>
        </w:p>
        <w:p w:rsidR="0068653D" w:rsidRDefault="0068653D">
          <w:pPr>
            <w:jc w:val="center"/>
          </w:pPr>
        </w:p>
      </w:tc>
      <w:tc>
        <w:tcPr>
          <w:tcW w:w="1495" w:type="dxa"/>
        </w:tcPr>
        <w:p w:rsidR="0068653D" w:rsidRDefault="001379AF">
          <w:pPr>
            <w:pStyle w:val="Heading1"/>
            <w:rPr>
              <w:b w:val="0"/>
              <w:sz w:val="52"/>
            </w:rPr>
          </w:pPr>
          <w:r>
            <w:rPr>
              <w:bCs/>
              <w:noProof/>
              <w:lang w:eastAsia="en-GB"/>
            </w:rPr>
            <w:drawing>
              <wp:inline distT="0" distB="0" distL="0" distR="0">
                <wp:extent cx="882650" cy="842645"/>
                <wp:effectExtent l="19050" t="0" r="0" b="0"/>
                <wp:docPr id="4" name="Picture 4" descr="NHSN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NAT~1"/>
                        <pic:cNvPicPr>
                          <a:picLocks noChangeAspect="1" noChangeArrowheads="1"/>
                        </pic:cNvPicPr>
                      </pic:nvPicPr>
                      <pic:blipFill>
                        <a:blip r:embed="rId2"/>
                        <a:srcRect/>
                        <a:stretch>
                          <a:fillRect/>
                        </a:stretch>
                      </pic:blipFill>
                      <pic:spPr bwMode="auto">
                        <a:xfrm>
                          <a:off x="0" y="0"/>
                          <a:ext cx="882650" cy="842645"/>
                        </a:xfrm>
                        <a:prstGeom prst="rect">
                          <a:avLst/>
                        </a:prstGeom>
                        <a:noFill/>
                        <a:ln w="9525">
                          <a:noFill/>
                          <a:miter lim="800000"/>
                          <a:headEnd/>
                          <a:tailEnd/>
                        </a:ln>
                      </pic:spPr>
                    </pic:pic>
                  </a:graphicData>
                </a:graphic>
              </wp:inline>
            </w:drawing>
          </w:r>
        </w:p>
      </w:tc>
    </w:tr>
  </w:tbl>
  <w:p w:rsidR="0068653D" w:rsidRPr="00BA5429" w:rsidRDefault="0068653D" w:rsidP="0004226A">
    <w:pPr>
      <w:pStyle w:val="Header"/>
      <w:rPr>
        <w:rStyle w:val="PageNumbe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324A040"/>
    <w:lvl w:ilvl="0">
      <w:numFmt w:val="decimal"/>
      <w:lvlText w:val="*"/>
      <w:lvlJc w:val="left"/>
    </w:lvl>
  </w:abstractNum>
  <w:abstractNum w:abstractNumId="1" w15:restartNumberingAfterBreak="0">
    <w:nsid w:val="01955BF7"/>
    <w:multiLevelType w:val="hybridMultilevel"/>
    <w:tmpl w:val="156EA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D0286"/>
    <w:multiLevelType w:val="hybridMultilevel"/>
    <w:tmpl w:val="1DEA07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FB17580"/>
    <w:multiLevelType w:val="multilevel"/>
    <w:tmpl w:val="F050DB5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13649C7"/>
    <w:multiLevelType w:val="hybridMultilevel"/>
    <w:tmpl w:val="5AA6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70072"/>
    <w:multiLevelType w:val="hybridMultilevel"/>
    <w:tmpl w:val="BD5A9E6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51221C"/>
    <w:multiLevelType w:val="multilevel"/>
    <w:tmpl w:val="BE1002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C2375F8"/>
    <w:multiLevelType w:val="hybridMultilevel"/>
    <w:tmpl w:val="BD42457E"/>
    <w:lvl w:ilvl="0" w:tplc="F74E0008">
      <w:start w:val="1"/>
      <w:numFmt w:val="bullet"/>
      <w:pStyle w:val="1stbullet"/>
      <w:lvlText w:val=""/>
      <w:lvlJc w:val="left"/>
      <w:pPr>
        <w:tabs>
          <w:tab w:val="num" w:pos="397"/>
        </w:tabs>
        <w:ind w:left="397" w:hanging="397"/>
      </w:pPr>
      <w:rPr>
        <w:rFonts w:ascii="Symbol" w:hAnsi="Symbol" w:hint="default"/>
        <w:sz w:val="28"/>
      </w:rPr>
    </w:lvl>
    <w:lvl w:ilvl="1" w:tplc="3B54777C">
      <w:start w:val="1"/>
      <w:numFmt w:val="bullet"/>
      <w:lvlText w:val=""/>
      <w:lvlJc w:val="left"/>
      <w:pPr>
        <w:tabs>
          <w:tab w:val="num" w:pos="1440"/>
        </w:tabs>
        <w:ind w:left="1437" w:hanging="357"/>
      </w:pPr>
      <w:rPr>
        <w:rFonts w:ascii="Symbol" w:hAnsi="Symbol" w:hint="default"/>
        <w:sz w:val="2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87641"/>
    <w:multiLevelType w:val="multilevel"/>
    <w:tmpl w:val="E128392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CE31A0"/>
    <w:multiLevelType w:val="multilevel"/>
    <w:tmpl w:val="FAF6771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61485D"/>
    <w:multiLevelType w:val="hybridMultilevel"/>
    <w:tmpl w:val="6DF8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704A2"/>
    <w:multiLevelType w:val="multilevel"/>
    <w:tmpl w:val="BB727F5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16B6A27"/>
    <w:multiLevelType w:val="multilevel"/>
    <w:tmpl w:val="49387D6C"/>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2F3BBB"/>
    <w:multiLevelType w:val="singleLevel"/>
    <w:tmpl w:val="89560FA4"/>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30E3795"/>
    <w:multiLevelType w:val="multilevel"/>
    <w:tmpl w:val="1136C35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cs="Times New Roman" w:hint="default"/>
        <w:sz w:val="22"/>
        <w:szCs w:val="22"/>
      </w:rPr>
    </w:lvl>
    <w:lvl w:ilvl="2">
      <w:start w:val="1"/>
      <w:numFmt w:val="decimal"/>
      <w:isLgl/>
      <w:lvlText w:val="%1.%2.%3"/>
      <w:lvlJc w:val="left"/>
      <w:pPr>
        <w:ind w:left="720" w:hanging="720"/>
      </w:pPr>
      <w:rPr>
        <w:rFonts w:cs="Times New Roman" w:hint="default"/>
        <w:sz w:val="24"/>
      </w:rPr>
    </w:lvl>
    <w:lvl w:ilvl="3">
      <w:start w:val="1"/>
      <w:numFmt w:val="decimal"/>
      <w:isLgl/>
      <w:lvlText w:val="%1.%2.%3.%4"/>
      <w:lvlJc w:val="left"/>
      <w:pPr>
        <w:ind w:left="1080" w:hanging="1080"/>
      </w:pPr>
      <w:rPr>
        <w:rFonts w:cs="Times New Roman" w:hint="default"/>
        <w:sz w:val="24"/>
      </w:rPr>
    </w:lvl>
    <w:lvl w:ilvl="4">
      <w:start w:val="1"/>
      <w:numFmt w:val="decimal"/>
      <w:isLgl/>
      <w:lvlText w:val="%1.%2.%3.%4.%5"/>
      <w:lvlJc w:val="left"/>
      <w:pPr>
        <w:ind w:left="1080" w:hanging="1080"/>
      </w:pPr>
      <w:rPr>
        <w:rFonts w:cs="Times New Roman" w:hint="default"/>
        <w:sz w:val="24"/>
      </w:rPr>
    </w:lvl>
    <w:lvl w:ilvl="5">
      <w:start w:val="1"/>
      <w:numFmt w:val="decimal"/>
      <w:isLgl/>
      <w:lvlText w:val="%1.%2.%3.%4.%5.%6"/>
      <w:lvlJc w:val="left"/>
      <w:pPr>
        <w:ind w:left="1440" w:hanging="1440"/>
      </w:pPr>
      <w:rPr>
        <w:rFonts w:cs="Times New Roman" w:hint="default"/>
        <w:sz w:val="24"/>
      </w:rPr>
    </w:lvl>
    <w:lvl w:ilvl="6">
      <w:start w:val="1"/>
      <w:numFmt w:val="decimal"/>
      <w:isLgl/>
      <w:lvlText w:val="%1.%2.%3.%4.%5.%6.%7"/>
      <w:lvlJc w:val="left"/>
      <w:pPr>
        <w:ind w:left="1440" w:hanging="1440"/>
      </w:pPr>
      <w:rPr>
        <w:rFonts w:cs="Times New Roman" w:hint="default"/>
        <w:sz w:val="24"/>
      </w:rPr>
    </w:lvl>
    <w:lvl w:ilvl="7">
      <w:start w:val="1"/>
      <w:numFmt w:val="decimal"/>
      <w:isLgl/>
      <w:lvlText w:val="%1.%2.%3.%4.%5.%6.%7.%8"/>
      <w:lvlJc w:val="left"/>
      <w:pPr>
        <w:ind w:left="1800" w:hanging="1800"/>
      </w:pPr>
      <w:rPr>
        <w:rFonts w:cs="Times New Roman" w:hint="default"/>
        <w:sz w:val="24"/>
      </w:rPr>
    </w:lvl>
    <w:lvl w:ilvl="8">
      <w:start w:val="1"/>
      <w:numFmt w:val="decimal"/>
      <w:isLgl/>
      <w:lvlText w:val="%1.%2.%3.%4.%5.%6.%7.%8.%9"/>
      <w:lvlJc w:val="left"/>
      <w:pPr>
        <w:ind w:left="1800" w:hanging="1800"/>
      </w:pPr>
      <w:rPr>
        <w:rFonts w:cs="Times New Roman" w:hint="default"/>
        <w:sz w:val="24"/>
      </w:rPr>
    </w:lvl>
  </w:abstractNum>
  <w:abstractNum w:abstractNumId="15" w15:restartNumberingAfterBreak="0">
    <w:nsid w:val="461D06A4"/>
    <w:multiLevelType w:val="hybridMultilevel"/>
    <w:tmpl w:val="597C69B2"/>
    <w:lvl w:ilvl="0" w:tplc="78142DF4">
      <w:start w:val="1"/>
      <w:numFmt w:val="decimal"/>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847BC3"/>
    <w:multiLevelType w:val="hybridMultilevel"/>
    <w:tmpl w:val="0DD87B94"/>
    <w:lvl w:ilvl="0" w:tplc="46F21296">
      <w:start w:val="1"/>
      <w:numFmt w:val="decimal"/>
      <w:lvlText w:val="%1"/>
      <w:lvlJc w:val="left"/>
      <w:pPr>
        <w:ind w:left="360" w:hanging="360"/>
      </w:pPr>
      <w:rPr>
        <w:rFonts w:hint="default"/>
        <w:b/>
        <w:sz w:val="22"/>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C959D8"/>
    <w:multiLevelType w:val="hybridMultilevel"/>
    <w:tmpl w:val="32BCCB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9F87805"/>
    <w:multiLevelType w:val="hybridMultilevel"/>
    <w:tmpl w:val="93605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F6F10"/>
    <w:multiLevelType w:val="multilevel"/>
    <w:tmpl w:val="0FCEAEE8"/>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B3A3323"/>
    <w:multiLevelType w:val="multilevel"/>
    <w:tmpl w:val="2032A1E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CF51FA7"/>
    <w:multiLevelType w:val="singleLevel"/>
    <w:tmpl w:val="C6844DF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5C1236"/>
    <w:multiLevelType w:val="multilevel"/>
    <w:tmpl w:val="8C2E325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2E2E85"/>
    <w:multiLevelType w:val="multilevel"/>
    <w:tmpl w:val="BE1002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C65585A"/>
    <w:multiLevelType w:val="singleLevel"/>
    <w:tmpl w:val="C6844DF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D55714"/>
    <w:multiLevelType w:val="hybridMultilevel"/>
    <w:tmpl w:val="A316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3620F"/>
    <w:multiLevelType w:val="hybridMultilevel"/>
    <w:tmpl w:val="26F83DB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7824012"/>
    <w:multiLevelType w:val="hybridMultilevel"/>
    <w:tmpl w:val="5DA4CF2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2E5C63"/>
    <w:multiLevelType w:val="hybridMultilevel"/>
    <w:tmpl w:val="21DA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8361F0"/>
    <w:multiLevelType w:val="hybridMultilevel"/>
    <w:tmpl w:val="FC5E43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40E00BE"/>
    <w:multiLevelType w:val="multilevel"/>
    <w:tmpl w:val="292E1C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B553A2"/>
    <w:multiLevelType w:val="hybridMultilevel"/>
    <w:tmpl w:val="658E5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2F1690"/>
    <w:multiLevelType w:val="multilevel"/>
    <w:tmpl w:val="69A0876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4"/>
  </w:num>
  <w:num w:numId="3">
    <w:abstractNumId w:val="13"/>
  </w:num>
  <w:num w:numId="4">
    <w:abstractNumId w:val="0"/>
    <w:lvlOverride w:ilvl="0">
      <w:lvl w:ilvl="0">
        <w:start w:val="1"/>
        <w:numFmt w:val="bullet"/>
        <w:lvlText w:val=""/>
        <w:legacy w:legacy="1" w:legacySpace="0" w:legacyIndent="360"/>
        <w:lvlJc w:val="left"/>
        <w:pPr>
          <w:ind w:left="1080" w:hanging="360"/>
        </w:pPr>
        <w:rPr>
          <w:rFonts w:ascii="Symbol" w:hAnsi="Symbol" w:hint="default"/>
          <w:sz w:val="20"/>
        </w:rPr>
      </w:lvl>
    </w:lvlOverride>
  </w:num>
  <w:num w:numId="5">
    <w:abstractNumId w:val="2"/>
  </w:num>
  <w:num w:numId="6">
    <w:abstractNumId w:val="12"/>
  </w:num>
  <w:num w:numId="7">
    <w:abstractNumId w:val="3"/>
  </w:num>
  <w:num w:numId="8">
    <w:abstractNumId w:val="11"/>
  </w:num>
  <w:num w:numId="9">
    <w:abstractNumId w:val="7"/>
  </w:num>
  <w:num w:numId="10">
    <w:abstractNumId w:val="17"/>
  </w:num>
  <w:num w:numId="11">
    <w:abstractNumId w:val="14"/>
  </w:num>
  <w:num w:numId="12">
    <w:abstractNumId w:val="4"/>
  </w:num>
  <w:num w:numId="13">
    <w:abstractNumId w:val="10"/>
  </w:num>
  <w:num w:numId="14">
    <w:abstractNumId w:val="29"/>
  </w:num>
  <w:num w:numId="15">
    <w:abstractNumId w:val="26"/>
  </w:num>
  <w:num w:numId="16">
    <w:abstractNumId w:val="28"/>
  </w:num>
  <w:num w:numId="17">
    <w:abstractNumId w:val="18"/>
  </w:num>
  <w:num w:numId="18">
    <w:abstractNumId w:val="25"/>
  </w:num>
  <w:num w:numId="19">
    <w:abstractNumId w:val="23"/>
  </w:num>
  <w:num w:numId="20">
    <w:abstractNumId w:val="19"/>
  </w:num>
  <w:num w:numId="21">
    <w:abstractNumId w:val="32"/>
  </w:num>
  <w:num w:numId="22">
    <w:abstractNumId w:val="27"/>
  </w:num>
  <w:num w:numId="23">
    <w:abstractNumId w:val="20"/>
  </w:num>
  <w:num w:numId="24">
    <w:abstractNumId w:val="8"/>
  </w:num>
  <w:num w:numId="25">
    <w:abstractNumId w:val="30"/>
  </w:num>
  <w:num w:numId="26">
    <w:abstractNumId w:val="22"/>
  </w:num>
  <w:num w:numId="27">
    <w:abstractNumId w:val="9"/>
  </w:num>
  <w:num w:numId="28">
    <w:abstractNumId w:val="5"/>
  </w:num>
  <w:num w:numId="29">
    <w:abstractNumId w:val="31"/>
  </w:num>
  <w:num w:numId="30">
    <w:abstractNumId w:val="1"/>
  </w:num>
  <w:num w:numId="31">
    <w:abstractNumId w:val="16"/>
  </w:num>
  <w:num w:numId="32">
    <w:abstractNumId w:val="1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82"/>
    <w:rsid w:val="000010FF"/>
    <w:rsid w:val="00001C95"/>
    <w:rsid w:val="00003BBF"/>
    <w:rsid w:val="00006710"/>
    <w:rsid w:val="00017631"/>
    <w:rsid w:val="000226E0"/>
    <w:rsid w:val="000355E5"/>
    <w:rsid w:val="00041999"/>
    <w:rsid w:val="0004226A"/>
    <w:rsid w:val="000430E8"/>
    <w:rsid w:val="00052603"/>
    <w:rsid w:val="00060807"/>
    <w:rsid w:val="00072DAE"/>
    <w:rsid w:val="00075660"/>
    <w:rsid w:val="00090727"/>
    <w:rsid w:val="000C497B"/>
    <w:rsid w:val="000C592F"/>
    <w:rsid w:val="000D4E01"/>
    <w:rsid w:val="000D7D2A"/>
    <w:rsid w:val="000E5BE9"/>
    <w:rsid w:val="000F6E86"/>
    <w:rsid w:val="001078EE"/>
    <w:rsid w:val="0011008C"/>
    <w:rsid w:val="00115A79"/>
    <w:rsid w:val="00116294"/>
    <w:rsid w:val="0011731D"/>
    <w:rsid w:val="001379AF"/>
    <w:rsid w:val="00162AF0"/>
    <w:rsid w:val="00173918"/>
    <w:rsid w:val="00176542"/>
    <w:rsid w:val="001771D4"/>
    <w:rsid w:val="001848BD"/>
    <w:rsid w:val="00184D73"/>
    <w:rsid w:val="001A23C9"/>
    <w:rsid w:val="001A79E4"/>
    <w:rsid w:val="001B39E7"/>
    <w:rsid w:val="001C0029"/>
    <w:rsid w:val="001C44EA"/>
    <w:rsid w:val="001E09AB"/>
    <w:rsid w:val="001E58DA"/>
    <w:rsid w:val="001E67F4"/>
    <w:rsid w:val="001E6BBA"/>
    <w:rsid w:val="001F14C7"/>
    <w:rsid w:val="00216491"/>
    <w:rsid w:val="0022400F"/>
    <w:rsid w:val="00233DA2"/>
    <w:rsid w:val="002455F7"/>
    <w:rsid w:val="002547D3"/>
    <w:rsid w:val="002711D5"/>
    <w:rsid w:val="002840CC"/>
    <w:rsid w:val="00284167"/>
    <w:rsid w:val="0028589F"/>
    <w:rsid w:val="002A40D8"/>
    <w:rsid w:val="002B60F0"/>
    <w:rsid w:val="002C2642"/>
    <w:rsid w:val="002C56AC"/>
    <w:rsid w:val="002D06A9"/>
    <w:rsid w:val="002E0CA9"/>
    <w:rsid w:val="002E7F4A"/>
    <w:rsid w:val="003046CC"/>
    <w:rsid w:val="00307CB3"/>
    <w:rsid w:val="0031789B"/>
    <w:rsid w:val="003235A9"/>
    <w:rsid w:val="00325478"/>
    <w:rsid w:val="00330CB2"/>
    <w:rsid w:val="00334E8E"/>
    <w:rsid w:val="0034624D"/>
    <w:rsid w:val="0035355C"/>
    <w:rsid w:val="00357FF0"/>
    <w:rsid w:val="00361AD9"/>
    <w:rsid w:val="00374A19"/>
    <w:rsid w:val="00384975"/>
    <w:rsid w:val="00385282"/>
    <w:rsid w:val="00385F4B"/>
    <w:rsid w:val="003C2EDF"/>
    <w:rsid w:val="003D4679"/>
    <w:rsid w:val="003D66E3"/>
    <w:rsid w:val="003E0AC0"/>
    <w:rsid w:val="003E4C6E"/>
    <w:rsid w:val="003F41AD"/>
    <w:rsid w:val="003F5245"/>
    <w:rsid w:val="00404A2B"/>
    <w:rsid w:val="004154DB"/>
    <w:rsid w:val="00444157"/>
    <w:rsid w:val="00463288"/>
    <w:rsid w:val="00470EA1"/>
    <w:rsid w:val="004774DA"/>
    <w:rsid w:val="00482FF1"/>
    <w:rsid w:val="004A1D95"/>
    <w:rsid w:val="004A7495"/>
    <w:rsid w:val="004B799F"/>
    <w:rsid w:val="004B7EE5"/>
    <w:rsid w:val="004D1151"/>
    <w:rsid w:val="004D76E1"/>
    <w:rsid w:val="005144DE"/>
    <w:rsid w:val="00531F59"/>
    <w:rsid w:val="005412E6"/>
    <w:rsid w:val="00544C1F"/>
    <w:rsid w:val="005536B6"/>
    <w:rsid w:val="00571DC2"/>
    <w:rsid w:val="00580CBA"/>
    <w:rsid w:val="0058284A"/>
    <w:rsid w:val="005C059F"/>
    <w:rsid w:val="005C6AF6"/>
    <w:rsid w:val="005E7041"/>
    <w:rsid w:val="005F2AFE"/>
    <w:rsid w:val="0060150B"/>
    <w:rsid w:val="00612928"/>
    <w:rsid w:val="00613F84"/>
    <w:rsid w:val="00614C31"/>
    <w:rsid w:val="0062161C"/>
    <w:rsid w:val="006320E0"/>
    <w:rsid w:val="00656592"/>
    <w:rsid w:val="00667BB8"/>
    <w:rsid w:val="00675D36"/>
    <w:rsid w:val="0068653D"/>
    <w:rsid w:val="006D1A32"/>
    <w:rsid w:val="006D436F"/>
    <w:rsid w:val="006F28B5"/>
    <w:rsid w:val="006F345B"/>
    <w:rsid w:val="006F7A5F"/>
    <w:rsid w:val="00701224"/>
    <w:rsid w:val="007262D6"/>
    <w:rsid w:val="00746873"/>
    <w:rsid w:val="00750B67"/>
    <w:rsid w:val="007574E8"/>
    <w:rsid w:val="00760366"/>
    <w:rsid w:val="00761879"/>
    <w:rsid w:val="00771EA1"/>
    <w:rsid w:val="00791273"/>
    <w:rsid w:val="007B7D1D"/>
    <w:rsid w:val="007D663C"/>
    <w:rsid w:val="007E40FA"/>
    <w:rsid w:val="007E61F9"/>
    <w:rsid w:val="007F2088"/>
    <w:rsid w:val="007F35CC"/>
    <w:rsid w:val="0081139D"/>
    <w:rsid w:val="00813441"/>
    <w:rsid w:val="008166F6"/>
    <w:rsid w:val="00817E2B"/>
    <w:rsid w:val="0082690B"/>
    <w:rsid w:val="00836CF1"/>
    <w:rsid w:val="00842E20"/>
    <w:rsid w:val="0086548A"/>
    <w:rsid w:val="00871EA7"/>
    <w:rsid w:val="008920FB"/>
    <w:rsid w:val="00892380"/>
    <w:rsid w:val="008A1D1B"/>
    <w:rsid w:val="008B1098"/>
    <w:rsid w:val="008C21C5"/>
    <w:rsid w:val="008D3B5A"/>
    <w:rsid w:val="008E1CB6"/>
    <w:rsid w:val="008E7BCE"/>
    <w:rsid w:val="00907B3D"/>
    <w:rsid w:val="0092062E"/>
    <w:rsid w:val="00924140"/>
    <w:rsid w:val="00924F0C"/>
    <w:rsid w:val="00930612"/>
    <w:rsid w:val="00930EB0"/>
    <w:rsid w:val="00946BD7"/>
    <w:rsid w:val="00947BD4"/>
    <w:rsid w:val="00953E41"/>
    <w:rsid w:val="00956C8C"/>
    <w:rsid w:val="0096016D"/>
    <w:rsid w:val="00961751"/>
    <w:rsid w:val="00992212"/>
    <w:rsid w:val="009933BE"/>
    <w:rsid w:val="009A1A9F"/>
    <w:rsid w:val="009A25E1"/>
    <w:rsid w:val="009A7325"/>
    <w:rsid w:val="009D5847"/>
    <w:rsid w:val="009E5DD7"/>
    <w:rsid w:val="009F37FA"/>
    <w:rsid w:val="00A005D8"/>
    <w:rsid w:val="00A051FE"/>
    <w:rsid w:val="00A128A4"/>
    <w:rsid w:val="00A166BF"/>
    <w:rsid w:val="00A45BB2"/>
    <w:rsid w:val="00A577CB"/>
    <w:rsid w:val="00A608CE"/>
    <w:rsid w:val="00A63429"/>
    <w:rsid w:val="00A7068A"/>
    <w:rsid w:val="00A728B6"/>
    <w:rsid w:val="00A81E19"/>
    <w:rsid w:val="00A87AC0"/>
    <w:rsid w:val="00A935D0"/>
    <w:rsid w:val="00AA0BBE"/>
    <w:rsid w:val="00AB08EE"/>
    <w:rsid w:val="00AB60DA"/>
    <w:rsid w:val="00AC53D6"/>
    <w:rsid w:val="00AC5CDA"/>
    <w:rsid w:val="00AD71E9"/>
    <w:rsid w:val="00AF077E"/>
    <w:rsid w:val="00B163B0"/>
    <w:rsid w:val="00B23DE3"/>
    <w:rsid w:val="00B2460C"/>
    <w:rsid w:val="00B417C5"/>
    <w:rsid w:val="00B4365B"/>
    <w:rsid w:val="00B74840"/>
    <w:rsid w:val="00B9049F"/>
    <w:rsid w:val="00B97D3F"/>
    <w:rsid w:val="00BA65B6"/>
    <w:rsid w:val="00BB7E47"/>
    <w:rsid w:val="00BE49A4"/>
    <w:rsid w:val="00BE61F5"/>
    <w:rsid w:val="00BF0A7C"/>
    <w:rsid w:val="00C12CD2"/>
    <w:rsid w:val="00C14343"/>
    <w:rsid w:val="00C159D9"/>
    <w:rsid w:val="00C27CCE"/>
    <w:rsid w:val="00C315BC"/>
    <w:rsid w:val="00C44BB6"/>
    <w:rsid w:val="00C53042"/>
    <w:rsid w:val="00C56A99"/>
    <w:rsid w:val="00C74E9D"/>
    <w:rsid w:val="00C77911"/>
    <w:rsid w:val="00C94827"/>
    <w:rsid w:val="00C9715A"/>
    <w:rsid w:val="00CB663F"/>
    <w:rsid w:val="00CC23C9"/>
    <w:rsid w:val="00CC5E6E"/>
    <w:rsid w:val="00CE2601"/>
    <w:rsid w:val="00CE77A3"/>
    <w:rsid w:val="00CF0F5D"/>
    <w:rsid w:val="00D3645A"/>
    <w:rsid w:val="00D41121"/>
    <w:rsid w:val="00D44004"/>
    <w:rsid w:val="00D54BCE"/>
    <w:rsid w:val="00D76B18"/>
    <w:rsid w:val="00D800C7"/>
    <w:rsid w:val="00D871EA"/>
    <w:rsid w:val="00D912F0"/>
    <w:rsid w:val="00DB4CB1"/>
    <w:rsid w:val="00DC63AB"/>
    <w:rsid w:val="00DC6727"/>
    <w:rsid w:val="00DF4933"/>
    <w:rsid w:val="00DF6C37"/>
    <w:rsid w:val="00E15AB8"/>
    <w:rsid w:val="00E32B42"/>
    <w:rsid w:val="00E361B3"/>
    <w:rsid w:val="00E62731"/>
    <w:rsid w:val="00E7615D"/>
    <w:rsid w:val="00E77498"/>
    <w:rsid w:val="00E82691"/>
    <w:rsid w:val="00E83E46"/>
    <w:rsid w:val="00E87989"/>
    <w:rsid w:val="00EA051F"/>
    <w:rsid w:val="00EA4A5E"/>
    <w:rsid w:val="00EB1530"/>
    <w:rsid w:val="00ED620F"/>
    <w:rsid w:val="00EF1F34"/>
    <w:rsid w:val="00F07102"/>
    <w:rsid w:val="00F15EB2"/>
    <w:rsid w:val="00F36902"/>
    <w:rsid w:val="00F41007"/>
    <w:rsid w:val="00F44222"/>
    <w:rsid w:val="00F714BF"/>
    <w:rsid w:val="00F8524D"/>
    <w:rsid w:val="00F8528B"/>
    <w:rsid w:val="00F90152"/>
    <w:rsid w:val="00FB268B"/>
    <w:rsid w:val="00FB35E1"/>
    <w:rsid w:val="00FC0544"/>
    <w:rsid w:val="00FC3B41"/>
    <w:rsid w:val="00FC4343"/>
    <w:rsid w:val="00FD19E4"/>
    <w:rsid w:val="00FD3066"/>
    <w:rsid w:val="00FD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2194CC-1134-457D-8103-CA69D183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8EE"/>
    <w:rPr>
      <w:rFonts w:ascii="Arial" w:hAnsi="Arial"/>
      <w:sz w:val="22"/>
      <w:lang w:eastAsia="en-US"/>
    </w:rPr>
  </w:style>
  <w:style w:type="paragraph" w:styleId="Heading1">
    <w:name w:val="heading 1"/>
    <w:basedOn w:val="Normal"/>
    <w:next w:val="Normal"/>
    <w:qFormat/>
    <w:rsid w:val="00173918"/>
    <w:pPr>
      <w:keepNext/>
      <w:outlineLvl w:val="0"/>
    </w:pPr>
    <w:rPr>
      <w:b/>
      <w:sz w:val="24"/>
    </w:rPr>
  </w:style>
  <w:style w:type="paragraph" w:styleId="Heading2">
    <w:name w:val="heading 2"/>
    <w:basedOn w:val="Normal"/>
    <w:next w:val="Normal"/>
    <w:qFormat/>
    <w:rsid w:val="00173918"/>
    <w:pPr>
      <w:keepNext/>
      <w:outlineLvl w:val="1"/>
    </w:pPr>
    <w:rPr>
      <w:rFonts w:ascii="Times New Roman" w:hAnsi="Times New Roman"/>
      <w:b/>
      <w:lang w:val="en-US"/>
    </w:rPr>
  </w:style>
  <w:style w:type="paragraph" w:styleId="Heading3">
    <w:name w:val="heading 3"/>
    <w:basedOn w:val="Normal"/>
    <w:next w:val="Normal"/>
    <w:qFormat/>
    <w:rsid w:val="00173918"/>
    <w:pPr>
      <w:keepNext/>
      <w:outlineLvl w:val="2"/>
    </w:pPr>
    <w:rPr>
      <w:b/>
      <w:bCs/>
      <w:sz w:val="28"/>
    </w:rPr>
  </w:style>
  <w:style w:type="paragraph" w:styleId="Heading4">
    <w:name w:val="heading 4"/>
    <w:basedOn w:val="Normal"/>
    <w:next w:val="Normal"/>
    <w:qFormat/>
    <w:rsid w:val="00173918"/>
    <w:pPr>
      <w:keepNext/>
      <w:jc w:val="center"/>
      <w:outlineLvl w:val="3"/>
    </w:pPr>
    <w:rPr>
      <w:b/>
      <w:sz w:val="26"/>
    </w:rPr>
  </w:style>
  <w:style w:type="paragraph" w:styleId="Heading5">
    <w:name w:val="heading 5"/>
    <w:basedOn w:val="Normal"/>
    <w:next w:val="Normal"/>
    <w:qFormat/>
    <w:rsid w:val="00173918"/>
    <w:pPr>
      <w:keepNext/>
      <w:outlineLvl w:val="4"/>
    </w:pPr>
    <w:rPr>
      <w:bCs/>
      <w:sz w:val="24"/>
    </w:rPr>
  </w:style>
  <w:style w:type="paragraph" w:styleId="Heading6">
    <w:name w:val="heading 6"/>
    <w:basedOn w:val="Normal"/>
    <w:next w:val="Normal"/>
    <w:qFormat/>
    <w:rsid w:val="00173918"/>
    <w:pPr>
      <w:keepNext/>
      <w:outlineLvl w:val="5"/>
    </w:pPr>
    <w:rPr>
      <w:sz w:val="24"/>
      <w:u w:val="single"/>
    </w:rPr>
  </w:style>
  <w:style w:type="paragraph" w:styleId="Heading7">
    <w:name w:val="heading 7"/>
    <w:basedOn w:val="Normal"/>
    <w:next w:val="Normal"/>
    <w:qFormat/>
    <w:rsid w:val="00173918"/>
    <w:pPr>
      <w:keepNext/>
      <w:jc w:val="both"/>
      <w:outlineLvl w:val="6"/>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73918"/>
    <w:rPr>
      <w:sz w:val="20"/>
    </w:rPr>
  </w:style>
  <w:style w:type="character" w:styleId="Hyperlink">
    <w:name w:val="Hyperlink"/>
    <w:basedOn w:val="DefaultParagraphFont"/>
    <w:rsid w:val="00173918"/>
    <w:rPr>
      <w:color w:val="0000FF"/>
      <w:u w:val="single"/>
    </w:rPr>
  </w:style>
  <w:style w:type="character" w:styleId="FollowedHyperlink">
    <w:name w:val="FollowedHyperlink"/>
    <w:basedOn w:val="DefaultParagraphFont"/>
    <w:rsid w:val="00173918"/>
    <w:rPr>
      <w:color w:val="800080"/>
      <w:u w:val="single"/>
    </w:rPr>
  </w:style>
  <w:style w:type="paragraph" w:styleId="Header">
    <w:name w:val="header"/>
    <w:basedOn w:val="Normal"/>
    <w:rsid w:val="00173918"/>
    <w:pPr>
      <w:tabs>
        <w:tab w:val="center" w:pos="4153"/>
        <w:tab w:val="right" w:pos="8306"/>
      </w:tabs>
    </w:pPr>
  </w:style>
  <w:style w:type="paragraph" w:styleId="Footer">
    <w:name w:val="footer"/>
    <w:basedOn w:val="Normal"/>
    <w:link w:val="FooterChar"/>
    <w:uiPriority w:val="99"/>
    <w:rsid w:val="00173918"/>
    <w:pPr>
      <w:tabs>
        <w:tab w:val="center" w:pos="4153"/>
        <w:tab w:val="right" w:pos="8306"/>
      </w:tabs>
    </w:pPr>
  </w:style>
  <w:style w:type="paragraph" w:styleId="BodyText">
    <w:name w:val="Body Text"/>
    <w:basedOn w:val="Normal"/>
    <w:rsid w:val="00173918"/>
    <w:rPr>
      <w:sz w:val="24"/>
    </w:rPr>
  </w:style>
  <w:style w:type="paragraph" w:styleId="BodyText2">
    <w:name w:val="Body Text 2"/>
    <w:basedOn w:val="Normal"/>
    <w:rsid w:val="00173918"/>
    <w:pPr>
      <w:jc w:val="center"/>
    </w:pPr>
    <w:rPr>
      <w:b/>
      <w:sz w:val="32"/>
    </w:rPr>
  </w:style>
  <w:style w:type="paragraph" w:styleId="BodyTextIndent2">
    <w:name w:val="Body Text Indent 2"/>
    <w:basedOn w:val="Normal"/>
    <w:rsid w:val="00173918"/>
    <w:pPr>
      <w:overflowPunct w:val="0"/>
      <w:autoSpaceDE w:val="0"/>
      <w:autoSpaceDN w:val="0"/>
      <w:adjustRightInd w:val="0"/>
      <w:ind w:left="720" w:hanging="720"/>
      <w:jc w:val="both"/>
      <w:textAlignment w:val="baseline"/>
    </w:pPr>
  </w:style>
  <w:style w:type="paragraph" w:customStyle="1" w:styleId="Style1">
    <w:name w:val="Style1"/>
    <w:basedOn w:val="Normal"/>
    <w:rsid w:val="00173918"/>
    <w:pPr>
      <w:overflowPunct w:val="0"/>
      <w:autoSpaceDE w:val="0"/>
      <w:autoSpaceDN w:val="0"/>
      <w:adjustRightInd w:val="0"/>
      <w:jc w:val="both"/>
      <w:textAlignment w:val="baseline"/>
    </w:pPr>
  </w:style>
  <w:style w:type="paragraph" w:styleId="BodyTextIndent">
    <w:name w:val="Body Text Indent"/>
    <w:basedOn w:val="Normal"/>
    <w:rsid w:val="00173918"/>
    <w:pPr>
      <w:numPr>
        <w:ilvl w:val="12"/>
      </w:numPr>
      <w:tabs>
        <w:tab w:val="left" w:pos="720"/>
      </w:tabs>
      <w:ind w:left="1418" w:hanging="709"/>
      <w:jc w:val="both"/>
    </w:pPr>
    <w:rPr>
      <w:rFonts w:cs="Arial"/>
      <w:sz w:val="24"/>
    </w:rPr>
  </w:style>
  <w:style w:type="paragraph" w:styleId="BodyText3">
    <w:name w:val="Body Text 3"/>
    <w:basedOn w:val="Normal"/>
    <w:rsid w:val="00173918"/>
    <w:pPr>
      <w:tabs>
        <w:tab w:val="left" w:pos="2127"/>
      </w:tabs>
      <w:jc w:val="both"/>
    </w:pPr>
    <w:rPr>
      <w:sz w:val="24"/>
    </w:rPr>
  </w:style>
  <w:style w:type="paragraph" w:customStyle="1" w:styleId="1stbullet">
    <w:name w:val="1st bullet"/>
    <w:basedOn w:val="Normal"/>
    <w:rsid w:val="0060150B"/>
    <w:pPr>
      <w:numPr>
        <w:numId w:val="9"/>
      </w:numPr>
      <w:tabs>
        <w:tab w:val="left" w:pos="567"/>
      </w:tabs>
      <w:autoSpaceDE w:val="0"/>
      <w:autoSpaceDN w:val="0"/>
      <w:adjustRightInd w:val="0"/>
      <w:spacing w:after="113"/>
    </w:pPr>
    <w:rPr>
      <w:sz w:val="24"/>
      <w:szCs w:val="24"/>
      <w:lang w:val="en-US"/>
    </w:rPr>
  </w:style>
  <w:style w:type="table" w:styleId="TableGrid">
    <w:name w:val="Table Grid"/>
    <w:basedOn w:val="TableNormal"/>
    <w:rsid w:val="005C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0727"/>
  </w:style>
  <w:style w:type="paragraph" w:customStyle="1" w:styleId="SOPChanges">
    <w:name w:val="SOP Changes"/>
    <w:rsid w:val="00B74840"/>
    <w:pPr>
      <w:spacing w:after="240"/>
    </w:pPr>
    <w:rPr>
      <w:rFonts w:ascii="Arial" w:hAnsi="Arial"/>
      <w:sz w:val="24"/>
      <w:lang w:eastAsia="en-US"/>
    </w:rPr>
  </w:style>
  <w:style w:type="paragraph" w:styleId="ListParagraph">
    <w:name w:val="List Paragraph"/>
    <w:basedOn w:val="Normal"/>
    <w:uiPriority w:val="34"/>
    <w:qFormat/>
    <w:rsid w:val="00E82691"/>
    <w:pPr>
      <w:ind w:left="720"/>
      <w:contextualSpacing/>
    </w:pPr>
    <w:rPr>
      <w:sz w:val="20"/>
    </w:rPr>
  </w:style>
  <w:style w:type="character" w:styleId="CommentReference">
    <w:name w:val="annotation reference"/>
    <w:basedOn w:val="DefaultParagraphFont"/>
    <w:rsid w:val="00FB35E1"/>
    <w:rPr>
      <w:sz w:val="16"/>
      <w:szCs w:val="16"/>
    </w:rPr>
  </w:style>
  <w:style w:type="paragraph" w:styleId="CommentText">
    <w:name w:val="annotation text"/>
    <w:basedOn w:val="Normal"/>
    <w:link w:val="CommentTextChar"/>
    <w:rsid w:val="00FB35E1"/>
    <w:rPr>
      <w:sz w:val="20"/>
    </w:rPr>
  </w:style>
  <w:style w:type="character" w:customStyle="1" w:styleId="CommentTextChar">
    <w:name w:val="Comment Text Char"/>
    <w:basedOn w:val="DefaultParagraphFont"/>
    <w:link w:val="CommentText"/>
    <w:rsid w:val="00FB35E1"/>
    <w:rPr>
      <w:rFonts w:ascii="Arial" w:hAnsi="Arial"/>
      <w:lang w:eastAsia="en-US"/>
    </w:rPr>
  </w:style>
  <w:style w:type="paragraph" w:styleId="CommentSubject">
    <w:name w:val="annotation subject"/>
    <w:basedOn w:val="CommentText"/>
    <w:next w:val="CommentText"/>
    <w:link w:val="CommentSubjectChar"/>
    <w:rsid w:val="00FB35E1"/>
    <w:rPr>
      <w:b/>
      <w:bCs/>
    </w:rPr>
  </w:style>
  <w:style w:type="character" w:customStyle="1" w:styleId="CommentSubjectChar">
    <w:name w:val="Comment Subject Char"/>
    <w:basedOn w:val="CommentTextChar"/>
    <w:link w:val="CommentSubject"/>
    <w:rsid w:val="00FB35E1"/>
    <w:rPr>
      <w:rFonts w:ascii="Arial" w:hAnsi="Arial"/>
      <w:b/>
      <w:bCs/>
      <w:lang w:eastAsia="en-US"/>
    </w:rPr>
  </w:style>
  <w:style w:type="paragraph" w:styleId="BalloonText">
    <w:name w:val="Balloon Text"/>
    <w:basedOn w:val="Normal"/>
    <w:link w:val="BalloonTextChar"/>
    <w:rsid w:val="00FB35E1"/>
    <w:rPr>
      <w:rFonts w:ascii="Tahoma" w:hAnsi="Tahoma" w:cs="Tahoma"/>
      <w:sz w:val="16"/>
      <w:szCs w:val="16"/>
    </w:rPr>
  </w:style>
  <w:style w:type="character" w:customStyle="1" w:styleId="BalloonTextChar">
    <w:name w:val="Balloon Text Char"/>
    <w:basedOn w:val="DefaultParagraphFont"/>
    <w:link w:val="BalloonText"/>
    <w:rsid w:val="00FB35E1"/>
    <w:rPr>
      <w:rFonts w:ascii="Tahoma" w:hAnsi="Tahoma" w:cs="Tahoma"/>
      <w:sz w:val="16"/>
      <w:szCs w:val="16"/>
      <w:lang w:eastAsia="en-US"/>
    </w:rPr>
  </w:style>
  <w:style w:type="character" w:customStyle="1" w:styleId="author">
    <w:name w:val="author"/>
    <w:basedOn w:val="DefaultParagraphFont"/>
    <w:rsid w:val="00FC3B41"/>
  </w:style>
  <w:style w:type="character" w:customStyle="1" w:styleId="pubyear">
    <w:name w:val="pubyear"/>
    <w:basedOn w:val="DefaultParagraphFont"/>
    <w:rsid w:val="00FC3B41"/>
  </w:style>
  <w:style w:type="character" w:customStyle="1" w:styleId="othertitle">
    <w:name w:val="othertitle"/>
    <w:basedOn w:val="DefaultParagraphFont"/>
    <w:rsid w:val="00FC3B41"/>
  </w:style>
  <w:style w:type="character" w:customStyle="1" w:styleId="groupname">
    <w:name w:val="groupname"/>
    <w:basedOn w:val="DefaultParagraphFont"/>
    <w:rsid w:val="00FC3B41"/>
  </w:style>
  <w:style w:type="character" w:customStyle="1" w:styleId="articletitle">
    <w:name w:val="articletitle"/>
    <w:basedOn w:val="DefaultParagraphFont"/>
    <w:rsid w:val="00FC3B41"/>
  </w:style>
  <w:style w:type="character" w:customStyle="1" w:styleId="journaltitle">
    <w:name w:val="journaltitle"/>
    <w:basedOn w:val="DefaultParagraphFont"/>
    <w:rsid w:val="00FC3B41"/>
  </w:style>
  <w:style w:type="character" w:customStyle="1" w:styleId="vol">
    <w:name w:val="vol"/>
    <w:basedOn w:val="DefaultParagraphFont"/>
    <w:rsid w:val="00FC3B41"/>
  </w:style>
  <w:style w:type="character" w:customStyle="1" w:styleId="pagefirst">
    <w:name w:val="pagefirst"/>
    <w:basedOn w:val="DefaultParagraphFont"/>
    <w:rsid w:val="00FC3B41"/>
  </w:style>
  <w:style w:type="character" w:customStyle="1" w:styleId="pagelast">
    <w:name w:val="pagelast"/>
    <w:basedOn w:val="DefaultParagraphFont"/>
    <w:rsid w:val="00FC3B41"/>
  </w:style>
  <w:style w:type="character" w:customStyle="1" w:styleId="number3">
    <w:name w:val="number3"/>
    <w:basedOn w:val="DefaultParagraphFont"/>
    <w:rsid w:val="001379AF"/>
  </w:style>
  <w:style w:type="character" w:customStyle="1" w:styleId="FooterChar">
    <w:name w:val="Footer Char"/>
    <w:basedOn w:val="DefaultParagraphFont"/>
    <w:link w:val="Footer"/>
    <w:uiPriority w:val="99"/>
    <w:rsid w:val="009A1A9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8387">
      <w:bodyDiv w:val="1"/>
      <w:marLeft w:val="0"/>
      <w:marRight w:val="0"/>
      <w:marTop w:val="0"/>
      <w:marBottom w:val="0"/>
      <w:divBdr>
        <w:top w:val="none" w:sz="0" w:space="0" w:color="auto"/>
        <w:left w:val="none" w:sz="0" w:space="0" w:color="auto"/>
        <w:bottom w:val="none" w:sz="0" w:space="0" w:color="auto"/>
        <w:right w:val="none" w:sz="0" w:space="0" w:color="auto"/>
      </w:divBdr>
      <w:divsChild>
        <w:div w:id="506477666">
          <w:marLeft w:val="0"/>
          <w:marRight w:val="0"/>
          <w:marTop w:val="0"/>
          <w:marBottom w:val="0"/>
          <w:divBdr>
            <w:top w:val="none" w:sz="0" w:space="0" w:color="auto"/>
            <w:left w:val="none" w:sz="0" w:space="0" w:color="auto"/>
            <w:bottom w:val="none" w:sz="0" w:space="0" w:color="auto"/>
            <w:right w:val="none" w:sz="0" w:space="0" w:color="auto"/>
          </w:divBdr>
        </w:div>
        <w:div w:id="468713492">
          <w:marLeft w:val="0"/>
          <w:marRight w:val="0"/>
          <w:marTop w:val="0"/>
          <w:marBottom w:val="0"/>
          <w:divBdr>
            <w:top w:val="none" w:sz="0" w:space="0" w:color="auto"/>
            <w:left w:val="none" w:sz="0" w:space="0" w:color="auto"/>
            <w:bottom w:val="none" w:sz="0" w:space="0" w:color="auto"/>
            <w:right w:val="none" w:sz="0" w:space="0" w:color="auto"/>
          </w:divBdr>
        </w:div>
      </w:divsChild>
    </w:div>
    <w:div w:id="787548072">
      <w:bodyDiv w:val="1"/>
      <w:marLeft w:val="0"/>
      <w:marRight w:val="0"/>
      <w:marTop w:val="0"/>
      <w:marBottom w:val="0"/>
      <w:divBdr>
        <w:top w:val="none" w:sz="0" w:space="0" w:color="auto"/>
        <w:left w:val="none" w:sz="0" w:space="0" w:color="auto"/>
        <w:bottom w:val="none" w:sz="0" w:space="0" w:color="auto"/>
        <w:right w:val="none" w:sz="0" w:space="0" w:color="auto"/>
      </w:divBdr>
      <w:divsChild>
        <w:div w:id="867137090">
          <w:marLeft w:val="0"/>
          <w:marRight w:val="0"/>
          <w:marTop w:val="0"/>
          <w:marBottom w:val="0"/>
          <w:divBdr>
            <w:top w:val="none" w:sz="0" w:space="0" w:color="auto"/>
            <w:left w:val="none" w:sz="0" w:space="0" w:color="auto"/>
            <w:bottom w:val="none" w:sz="0" w:space="0" w:color="auto"/>
            <w:right w:val="none" w:sz="0" w:space="0" w:color="auto"/>
          </w:divBdr>
        </w:div>
        <w:div w:id="1595018349">
          <w:marLeft w:val="0"/>
          <w:marRight w:val="0"/>
          <w:marTop w:val="0"/>
          <w:marBottom w:val="0"/>
          <w:divBdr>
            <w:top w:val="none" w:sz="0" w:space="0" w:color="auto"/>
            <w:left w:val="none" w:sz="0" w:space="0" w:color="auto"/>
            <w:bottom w:val="none" w:sz="0" w:space="0" w:color="auto"/>
            <w:right w:val="none" w:sz="0" w:space="0" w:color="auto"/>
          </w:divBdr>
        </w:div>
      </w:divsChild>
    </w:div>
    <w:div w:id="1163617533">
      <w:bodyDiv w:val="1"/>
      <w:marLeft w:val="0"/>
      <w:marRight w:val="0"/>
      <w:marTop w:val="0"/>
      <w:marBottom w:val="0"/>
      <w:divBdr>
        <w:top w:val="none" w:sz="0" w:space="0" w:color="auto"/>
        <w:left w:val="none" w:sz="0" w:space="0" w:color="auto"/>
        <w:bottom w:val="none" w:sz="0" w:space="0" w:color="auto"/>
        <w:right w:val="none" w:sz="0" w:space="0" w:color="auto"/>
      </w:divBdr>
      <w:divsChild>
        <w:div w:id="1004406035">
          <w:marLeft w:val="0"/>
          <w:marRight w:val="0"/>
          <w:marTop w:val="0"/>
          <w:marBottom w:val="0"/>
          <w:divBdr>
            <w:top w:val="none" w:sz="0" w:space="0" w:color="auto"/>
            <w:left w:val="none" w:sz="0" w:space="0" w:color="auto"/>
            <w:bottom w:val="none" w:sz="0" w:space="0" w:color="auto"/>
            <w:right w:val="none" w:sz="0" w:space="0" w:color="auto"/>
          </w:divBdr>
        </w:div>
        <w:div w:id="768699958">
          <w:marLeft w:val="0"/>
          <w:marRight w:val="0"/>
          <w:marTop w:val="0"/>
          <w:marBottom w:val="0"/>
          <w:divBdr>
            <w:top w:val="none" w:sz="0" w:space="0" w:color="auto"/>
            <w:left w:val="none" w:sz="0" w:space="0" w:color="auto"/>
            <w:bottom w:val="none" w:sz="0" w:space="0" w:color="auto"/>
            <w:right w:val="none" w:sz="0" w:space="0" w:color="auto"/>
          </w:divBdr>
        </w:div>
      </w:divsChild>
    </w:div>
    <w:div w:id="1935548634">
      <w:bodyDiv w:val="1"/>
      <w:marLeft w:val="0"/>
      <w:marRight w:val="0"/>
      <w:marTop w:val="0"/>
      <w:marBottom w:val="0"/>
      <w:divBdr>
        <w:top w:val="none" w:sz="0" w:space="0" w:color="auto"/>
        <w:left w:val="none" w:sz="0" w:space="0" w:color="auto"/>
        <w:bottom w:val="none" w:sz="0" w:space="0" w:color="auto"/>
        <w:right w:val="none" w:sz="0" w:space="0" w:color="auto"/>
      </w:divBdr>
      <w:divsChild>
        <w:div w:id="206450213">
          <w:marLeft w:val="0"/>
          <w:marRight w:val="0"/>
          <w:marTop w:val="0"/>
          <w:marBottom w:val="0"/>
          <w:divBdr>
            <w:top w:val="none" w:sz="0" w:space="0" w:color="auto"/>
            <w:left w:val="none" w:sz="0" w:space="0" w:color="auto"/>
            <w:bottom w:val="none" w:sz="0" w:space="0" w:color="auto"/>
            <w:right w:val="none" w:sz="0" w:space="0" w:color="auto"/>
          </w:divBdr>
        </w:div>
        <w:div w:id="1302689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i-web.org/committees/standards-committ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7841E-AEA6-4428-AFFA-6F3FDAB1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PATIENT GROUP DIRECTIONS (PGD)</vt:lpstr>
    </vt:vector>
  </TitlesOfParts>
  <Company>SNBTS</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DIRECTIONS (PGD)</dc:title>
  <dc:creator>Pam Anderson</dc:creator>
  <cp:lastModifiedBy>Jeffrey Boadi</cp:lastModifiedBy>
  <cp:revision>1</cp:revision>
  <cp:lastPrinted>2020-06-25T15:14:00Z</cp:lastPrinted>
  <dcterms:created xsi:type="dcterms:W3CDTF">2021-07-30T21:24:00Z</dcterms:created>
  <dcterms:modified xsi:type="dcterms:W3CDTF">2021-07-30T21:24:00Z</dcterms:modified>
</cp:coreProperties>
</file>